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4B641" w14:textId="5AA02A7E" w:rsidR="00686DE8" w:rsidRPr="00667100" w:rsidRDefault="00D910A2" w:rsidP="00F80547">
      <w:pPr>
        <w:jc w:val="both"/>
        <w:rPr>
          <w:b/>
          <w:bCs/>
          <w:sz w:val="20"/>
          <w:szCs w:val="20"/>
        </w:rPr>
      </w:pPr>
      <w:r w:rsidRPr="00667100">
        <w:rPr>
          <w:b/>
          <w:bCs/>
          <w:sz w:val="20"/>
          <w:szCs w:val="20"/>
        </w:rPr>
        <w:t>Datenschutzhinweise</w:t>
      </w:r>
      <w:r w:rsidR="003C23DD">
        <w:rPr>
          <w:b/>
          <w:bCs/>
          <w:sz w:val="20"/>
          <w:szCs w:val="20"/>
        </w:rPr>
        <w:t>: Weitere Informationen nach Art. 13 DSGVO für Teilnehmer und Gewinner des Wettbewerbs</w:t>
      </w:r>
    </w:p>
    <w:p w14:paraId="5CDD91D2" w14:textId="77777777" w:rsidR="00D910A2" w:rsidRPr="00C824D9" w:rsidRDefault="00D910A2" w:rsidP="00F80547">
      <w:pPr>
        <w:jc w:val="both"/>
        <w:rPr>
          <w:sz w:val="20"/>
          <w:szCs w:val="20"/>
        </w:rPr>
      </w:pPr>
    </w:p>
    <w:p w14:paraId="65A4C24B" w14:textId="3E46EEF0" w:rsidR="00C824D9" w:rsidRPr="003C23DD" w:rsidRDefault="00D910A2" w:rsidP="00F80547">
      <w:pPr>
        <w:jc w:val="both"/>
        <w:rPr>
          <w:sz w:val="20"/>
          <w:szCs w:val="20"/>
          <w:u w:val="single"/>
        </w:rPr>
      </w:pPr>
      <w:r w:rsidRPr="003C23DD">
        <w:rPr>
          <w:sz w:val="20"/>
          <w:szCs w:val="20"/>
          <w:u w:val="single"/>
        </w:rPr>
        <w:t xml:space="preserve">Zweck </w:t>
      </w:r>
      <w:r w:rsidR="00CD6F51" w:rsidRPr="003C23DD">
        <w:rPr>
          <w:sz w:val="20"/>
          <w:szCs w:val="20"/>
          <w:u w:val="single"/>
        </w:rPr>
        <w:t xml:space="preserve">und Rechtsgrundlage </w:t>
      </w:r>
      <w:r w:rsidRPr="003C23DD">
        <w:rPr>
          <w:sz w:val="20"/>
          <w:szCs w:val="20"/>
          <w:u w:val="single"/>
        </w:rPr>
        <w:t xml:space="preserve">der Datenverarbeitung: </w:t>
      </w:r>
    </w:p>
    <w:p w14:paraId="30C1ED28" w14:textId="352D2EC0" w:rsidR="00CD6F51" w:rsidRPr="00C824D9" w:rsidRDefault="00E562DF" w:rsidP="00F80547">
      <w:pPr>
        <w:jc w:val="both"/>
        <w:rPr>
          <w:sz w:val="20"/>
          <w:szCs w:val="20"/>
        </w:rPr>
      </w:pPr>
      <w:r>
        <w:rPr>
          <w:sz w:val="20"/>
          <w:szCs w:val="20"/>
        </w:rPr>
        <w:t xml:space="preserve">Die personenbezogenen Daten der Teilnehmer werden </w:t>
      </w:r>
      <w:r w:rsidR="003C23DD">
        <w:rPr>
          <w:sz w:val="20"/>
          <w:szCs w:val="20"/>
        </w:rPr>
        <w:t>von uns</w:t>
      </w:r>
      <w:r w:rsidR="00CB25C2">
        <w:rPr>
          <w:sz w:val="20"/>
          <w:szCs w:val="20"/>
        </w:rPr>
        <w:t>, der Lidl Dienstleistung &amp; Co. KG, Bonfelder Str. 2, 74206 Bad Wimpfen</w:t>
      </w:r>
      <w:r w:rsidR="003C23DD">
        <w:rPr>
          <w:sz w:val="20"/>
          <w:szCs w:val="20"/>
        </w:rPr>
        <w:t xml:space="preserve"> zum Zwecke de</w:t>
      </w:r>
      <w:r>
        <w:rPr>
          <w:sz w:val="20"/>
          <w:szCs w:val="20"/>
        </w:rPr>
        <w:t xml:space="preserve">r </w:t>
      </w:r>
      <w:r w:rsidR="00D910A2" w:rsidRPr="00C824D9">
        <w:rPr>
          <w:sz w:val="20"/>
          <w:szCs w:val="20"/>
        </w:rPr>
        <w:t xml:space="preserve">Durchführung des </w:t>
      </w:r>
      <w:r w:rsidR="00AA2287">
        <w:rPr>
          <w:sz w:val="20"/>
          <w:szCs w:val="20"/>
        </w:rPr>
        <w:t xml:space="preserve">Wettbewerbs </w:t>
      </w:r>
      <w:r w:rsidR="00AA2287" w:rsidRPr="00AA2287">
        <w:rPr>
          <w:sz w:val="20"/>
          <w:szCs w:val="20"/>
        </w:rPr>
        <w:t>„Cheese Alternatives“</w:t>
      </w:r>
      <w:r>
        <w:rPr>
          <w:sz w:val="20"/>
          <w:szCs w:val="20"/>
        </w:rPr>
        <w:t xml:space="preserve"> ver</w:t>
      </w:r>
      <w:r w:rsidR="003C23DD">
        <w:rPr>
          <w:sz w:val="20"/>
          <w:szCs w:val="20"/>
        </w:rPr>
        <w:t>arbeitet</w:t>
      </w:r>
      <w:r>
        <w:rPr>
          <w:sz w:val="20"/>
          <w:szCs w:val="20"/>
        </w:rPr>
        <w:t xml:space="preserve">. Die </w:t>
      </w:r>
      <w:r w:rsidR="008C5049">
        <w:rPr>
          <w:sz w:val="20"/>
          <w:szCs w:val="20"/>
        </w:rPr>
        <w:t>Pflichta</w:t>
      </w:r>
      <w:r>
        <w:rPr>
          <w:sz w:val="20"/>
          <w:szCs w:val="20"/>
        </w:rPr>
        <w:t>ngaben</w:t>
      </w:r>
      <w:r w:rsidR="003C23DD">
        <w:rPr>
          <w:sz w:val="20"/>
          <w:szCs w:val="20"/>
        </w:rPr>
        <w:t>:</w:t>
      </w:r>
      <w:r w:rsidR="008C5049">
        <w:rPr>
          <w:sz w:val="20"/>
          <w:szCs w:val="20"/>
        </w:rPr>
        <w:t xml:space="preserve"> </w:t>
      </w:r>
      <w:r w:rsidR="003D455C">
        <w:rPr>
          <w:sz w:val="20"/>
          <w:szCs w:val="20"/>
        </w:rPr>
        <w:t>Vor- und Nachname</w:t>
      </w:r>
      <w:r w:rsidR="003C23DD">
        <w:rPr>
          <w:sz w:val="20"/>
          <w:szCs w:val="20"/>
        </w:rPr>
        <w:t xml:space="preserve"> des Ansprechpartner</w:t>
      </w:r>
      <w:r w:rsidR="00CB25C2">
        <w:rPr>
          <w:sz w:val="20"/>
          <w:szCs w:val="20"/>
        </w:rPr>
        <w:t>s</w:t>
      </w:r>
      <w:r w:rsidR="003C23DD">
        <w:rPr>
          <w:sz w:val="20"/>
          <w:szCs w:val="20"/>
        </w:rPr>
        <w:t xml:space="preserve"> sowie </w:t>
      </w:r>
      <w:r w:rsidR="003D455C">
        <w:rPr>
          <w:sz w:val="20"/>
          <w:szCs w:val="20"/>
        </w:rPr>
        <w:t>Telefonnummer, E-Mail- Adresse</w:t>
      </w:r>
      <w:r w:rsidR="003C23DD">
        <w:rPr>
          <w:sz w:val="20"/>
          <w:szCs w:val="20"/>
        </w:rPr>
        <w:t xml:space="preserve"> und Anschrift </w:t>
      </w:r>
      <w:r w:rsidR="008C5049">
        <w:rPr>
          <w:sz w:val="20"/>
          <w:szCs w:val="20"/>
        </w:rPr>
        <w:t>werden zur Kontaktaufnahme mit de</w:t>
      </w:r>
      <w:r w:rsidR="003D455C">
        <w:rPr>
          <w:sz w:val="20"/>
          <w:szCs w:val="20"/>
        </w:rPr>
        <w:t>n</w:t>
      </w:r>
      <w:r w:rsidR="008C5049">
        <w:rPr>
          <w:sz w:val="20"/>
          <w:szCs w:val="20"/>
        </w:rPr>
        <w:t xml:space="preserve"> </w:t>
      </w:r>
      <w:r w:rsidR="003D455C">
        <w:rPr>
          <w:sz w:val="20"/>
          <w:szCs w:val="20"/>
        </w:rPr>
        <w:t>Finalisten</w:t>
      </w:r>
      <w:r w:rsidR="008C5049">
        <w:rPr>
          <w:sz w:val="20"/>
          <w:szCs w:val="20"/>
        </w:rPr>
        <w:t xml:space="preserve"> </w:t>
      </w:r>
      <w:r w:rsidR="003D455C">
        <w:rPr>
          <w:sz w:val="20"/>
          <w:szCs w:val="20"/>
        </w:rPr>
        <w:t xml:space="preserve">und dem Gewinner </w:t>
      </w:r>
      <w:r w:rsidR="008C5049">
        <w:rPr>
          <w:sz w:val="20"/>
          <w:szCs w:val="20"/>
        </w:rPr>
        <w:t>benötigt. Die Verarbeitung deiner Daten und die Datenweitergabe an unseren Kooperationspartner ProVeg e.V. zum Zwecke der Wettbewerbsdurchführung erfolgt auf Grundlage von Art. 6 Abs.1 lit. b) DSGVO.</w:t>
      </w:r>
      <w:r w:rsidR="003D455C">
        <w:rPr>
          <w:sz w:val="20"/>
          <w:szCs w:val="20"/>
        </w:rPr>
        <w:t xml:space="preserve"> Es besteht zudem die Möglichkeit einer Aufnahme deiner Daten in unseren Bewerberpool, um nach dem Wettbewerb in Kontakt zu treten.</w:t>
      </w:r>
      <w:r w:rsidR="008C5049">
        <w:rPr>
          <w:sz w:val="20"/>
          <w:szCs w:val="20"/>
        </w:rPr>
        <w:t xml:space="preserve"> Die Verarbeitung der Daten erfolgt auf Grundlage einer Einwilligung gemäß Art. 6 Abs. 1 lit. a</w:t>
      </w:r>
      <w:r w:rsidR="00CD391F">
        <w:rPr>
          <w:sz w:val="20"/>
          <w:szCs w:val="20"/>
        </w:rPr>
        <w:t>)</w:t>
      </w:r>
      <w:r w:rsidR="008C5049">
        <w:rPr>
          <w:sz w:val="20"/>
          <w:szCs w:val="20"/>
        </w:rPr>
        <w:t xml:space="preserve"> DSGVO, in welcher separat über die Datenverarbeitung informiert wird.</w:t>
      </w:r>
    </w:p>
    <w:p w14:paraId="23496845" w14:textId="40238D03" w:rsidR="00D910A2" w:rsidRPr="003C23DD" w:rsidRDefault="00D910A2" w:rsidP="00F80547">
      <w:pPr>
        <w:jc w:val="both"/>
        <w:rPr>
          <w:sz w:val="20"/>
          <w:szCs w:val="20"/>
          <w:u w:val="single"/>
        </w:rPr>
      </w:pPr>
      <w:r w:rsidRPr="003C23DD">
        <w:rPr>
          <w:sz w:val="20"/>
          <w:szCs w:val="20"/>
          <w:u w:val="single"/>
        </w:rPr>
        <w:t>Datenempfänger:</w:t>
      </w:r>
    </w:p>
    <w:p w14:paraId="48561F66" w14:textId="2B2567A0" w:rsidR="00CD6F51" w:rsidRPr="00C824D9" w:rsidRDefault="008C5049" w:rsidP="00F80547">
      <w:pPr>
        <w:jc w:val="both"/>
        <w:rPr>
          <w:sz w:val="20"/>
          <w:szCs w:val="20"/>
        </w:rPr>
      </w:pPr>
      <w:r>
        <w:rPr>
          <w:sz w:val="20"/>
          <w:szCs w:val="20"/>
        </w:rPr>
        <w:t>Wir arbeiten im Rahmen des Wettbewerbs mit unserem Kooperationspartner ProVeg e.V.</w:t>
      </w:r>
      <w:r w:rsidR="005D322D">
        <w:rPr>
          <w:sz w:val="20"/>
          <w:szCs w:val="20"/>
        </w:rPr>
        <w:t>, Genthiner Straße 48, 10785 Berlin</w:t>
      </w:r>
      <w:r>
        <w:rPr>
          <w:sz w:val="20"/>
          <w:szCs w:val="20"/>
        </w:rPr>
        <w:t xml:space="preserve"> zusammen. </w:t>
      </w:r>
      <w:r w:rsidR="005D322D">
        <w:rPr>
          <w:sz w:val="20"/>
          <w:szCs w:val="20"/>
        </w:rPr>
        <w:t xml:space="preserve">Zudem unterstützt uns im Rahmen der Durchführung des Wettbewerbs die Lidl Stiftung &amp; Co. KG, Stiftsbergstraße 1, 74172 Neckarsulm und erhält hierbei zu Zwecken der Prozess- und Ablaufoptimierung Zugriff auf deine Daten. Rechtsgrundlage hierfür ist Art. 6 Abs. 1 lit. f) DSGVO. Wir haben ein berechtigtes Interesse an der Sicherstellung der Organisation des Wettbewerbs. </w:t>
      </w:r>
    </w:p>
    <w:p w14:paraId="37698076" w14:textId="47984463" w:rsidR="00D910A2" w:rsidRPr="00C824D9" w:rsidRDefault="00D910A2" w:rsidP="00F80547">
      <w:pPr>
        <w:jc w:val="both"/>
        <w:rPr>
          <w:sz w:val="20"/>
          <w:szCs w:val="20"/>
          <w:u w:val="single"/>
        </w:rPr>
      </w:pPr>
      <w:r w:rsidRPr="00C824D9">
        <w:rPr>
          <w:sz w:val="20"/>
          <w:szCs w:val="20"/>
          <w:u w:val="single"/>
        </w:rPr>
        <w:t xml:space="preserve">Dauer der Speicherung: </w:t>
      </w:r>
    </w:p>
    <w:p w14:paraId="1F34BB09" w14:textId="278818A0" w:rsidR="00CD6F51" w:rsidRPr="00F80547" w:rsidRDefault="00CD6F51" w:rsidP="00F80547">
      <w:pPr>
        <w:jc w:val="both"/>
        <w:rPr>
          <w:sz w:val="20"/>
          <w:szCs w:val="20"/>
        </w:rPr>
      </w:pPr>
      <w:r>
        <w:rPr>
          <w:sz w:val="20"/>
          <w:szCs w:val="20"/>
        </w:rPr>
        <w:t xml:space="preserve">Sämtliche Daten der Teilnehmer, die im Rahmen des Wettbewerbs erhoben wurden, werden spätestens </w:t>
      </w:r>
      <w:r w:rsidRPr="00F80547">
        <w:rPr>
          <w:sz w:val="20"/>
          <w:szCs w:val="20"/>
        </w:rPr>
        <w:t>nach zwei Jahren gelöscht.</w:t>
      </w:r>
    </w:p>
    <w:p w14:paraId="20AC08AE" w14:textId="77777777" w:rsidR="002D0B11" w:rsidRPr="00F80547" w:rsidRDefault="002D0B11" w:rsidP="00F80547">
      <w:pPr>
        <w:jc w:val="both"/>
        <w:rPr>
          <w:sz w:val="20"/>
          <w:szCs w:val="20"/>
          <w:u w:val="single"/>
        </w:rPr>
      </w:pPr>
      <w:r w:rsidRPr="00F80547">
        <w:rPr>
          <w:sz w:val="20"/>
          <w:szCs w:val="20"/>
          <w:u w:val="single"/>
        </w:rPr>
        <w:t>Verantwortlicher und weitere Informationen zu Art. 26 DSGVO:</w:t>
      </w:r>
    </w:p>
    <w:p w14:paraId="0F61AE08" w14:textId="2CCCB71C" w:rsidR="002D0B11" w:rsidRPr="00F80547" w:rsidRDefault="002D0B11" w:rsidP="00F80547">
      <w:pPr>
        <w:jc w:val="both"/>
        <w:rPr>
          <w:sz w:val="20"/>
          <w:szCs w:val="20"/>
        </w:rPr>
      </w:pPr>
      <w:r w:rsidRPr="00F80547">
        <w:rPr>
          <w:sz w:val="20"/>
          <w:szCs w:val="20"/>
        </w:rPr>
        <w:t xml:space="preserve">Da die Lidl Dienstleistung &amp; Co. KG, Bonfelder Str. 2, 74206 Bad Wimpfen und ProVeg e.V., Genthiner Straße 48, 10785 Berlin jeweils Verantwortliche Stelle für den Prozess darstellen und diesen gemeinsam durchführen, sind sie gemeinsam für den Schutz Ihrer personenbezogenen Daten verantwortlich (Art. 26 DSGVO). </w:t>
      </w:r>
    </w:p>
    <w:p w14:paraId="1F1246D9" w14:textId="4A43F9A3" w:rsidR="002D0B11" w:rsidRPr="00F80547" w:rsidRDefault="002D0B11" w:rsidP="00F80547">
      <w:pPr>
        <w:jc w:val="both"/>
        <w:rPr>
          <w:sz w:val="20"/>
          <w:szCs w:val="20"/>
        </w:rPr>
      </w:pPr>
      <w:r w:rsidRPr="00F80547">
        <w:rPr>
          <w:sz w:val="20"/>
          <w:szCs w:val="20"/>
        </w:rPr>
        <w:t>Im Rahmen ihrer gemeinsamen Verantwortlichkeit haben die oben genannten Gesellschaften vereinbart, wer von ihnen welche Pflichten nach der DSGVO erfüllt. Dies betrifft insbesondere die Erfüllung der Rechte der betroffenen Personen und der Informationspflichten gemäß Art. 13 und 14 DSGVO.</w:t>
      </w:r>
    </w:p>
    <w:tbl>
      <w:tblPr>
        <w:tblStyle w:val="Tabellenraster"/>
        <w:tblW w:w="0" w:type="auto"/>
        <w:tblLook w:val="04A0" w:firstRow="1" w:lastRow="0" w:firstColumn="1" w:lastColumn="0" w:noHBand="0" w:noVBand="1"/>
      </w:tblPr>
      <w:tblGrid>
        <w:gridCol w:w="4390"/>
        <w:gridCol w:w="283"/>
        <w:gridCol w:w="4389"/>
      </w:tblGrid>
      <w:tr w:rsidR="002D0B11" w:rsidRPr="00F80547" w14:paraId="3F3AEA42" w14:textId="77777777" w:rsidTr="00564E5C">
        <w:tc>
          <w:tcPr>
            <w:tcW w:w="4390" w:type="dxa"/>
          </w:tcPr>
          <w:p w14:paraId="1B34AEDA" w14:textId="77777777" w:rsidR="002D0B11" w:rsidRPr="00F80547" w:rsidRDefault="002D0B11" w:rsidP="00F80547">
            <w:pPr>
              <w:jc w:val="both"/>
              <w:rPr>
                <w:b/>
                <w:bCs/>
                <w:sz w:val="20"/>
                <w:szCs w:val="20"/>
              </w:rPr>
            </w:pPr>
            <w:r w:rsidRPr="00F80547">
              <w:rPr>
                <w:rFonts w:ascii="Lidl Font" w:hAnsi="Lidl Font"/>
                <w:b/>
                <w:bCs/>
                <w:sz w:val="20"/>
                <w:szCs w:val="20"/>
              </w:rPr>
              <w:t>Prozessabschnitt der Datenverarbeitung/ Pflicht</w:t>
            </w:r>
          </w:p>
        </w:tc>
        <w:tc>
          <w:tcPr>
            <w:tcW w:w="283" w:type="dxa"/>
          </w:tcPr>
          <w:p w14:paraId="4F24A7A1" w14:textId="77777777" w:rsidR="002D0B11" w:rsidRPr="00F80547" w:rsidRDefault="002D0B11" w:rsidP="00F80547">
            <w:pPr>
              <w:jc w:val="both"/>
              <w:rPr>
                <w:b/>
                <w:bCs/>
                <w:sz w:val="20"/>
                <w:szCs w:val="20"/>
              </w:rPr>
            </w:pPr>
          </w:p>
        </w:tc>
        <w:tc>
          <w:tcPr>
            <w:tcW w:w="4389" w:type="dxa"/>
          </w:tcPr>
          <w:p w14:paraId="4C3F9B70" w14:textId="77777777" w:rsidR="002D0B11" w:rsidRPr="00F80547" w:rsidRDefault="002D0B11" w:rsidP="00F80547">
            <w:pPr>
              <w:jc w:val="both"/>
              <w:rPr>
                <w:b/>
                <w:bCs/>
                <w:sz w:val="20"/>
                <w:szCs w:val="20"/>
              </w:rPr>
            </w:pPr>
            <w:r w:rsidRPr="00F80547">
              <w:rPr>
                <w:b/>
                <w:bCs/>
                <w:sz w:val="20"/>
                <w:szCs w:val="20"/>
              </w:rPr>
              <w:t>Erfüllung der Pflichten durch</w:t>
            </w:r>
          </w:p>
        </w:tc>
      </w:tr>
      <w:tr w:rsidR="002D0B11" w:rsidRPr="00F80547" w14:paraId="100F3420" w14:textId="77777777" w:rsidTr="00564E5C">
        <w:tc>
          <w:tcPr>
            <w:tcW w:w="4390" w:type="dxa"/>
          </w:tcPr>
          <w:p w14:paraId="5239C642" w14:textId="77777777" w:rsidR="002D0B11" w:rsidRPr="00F80547" w:rsidRDefault="002D0B11" w:rsidP="00F80547">
            <w:pPr>
              <w:jc w:val="both"/>
              <w:rPr>
                <w:sz w:val="20"/>
                <w:szCs w:val="20"/>
              </w:rPr>
            </w:pPr>
            <w:r w:rsidRPr="00F80547">
              <w:rPr>
                <w:sz w:val="20"/>
                <w:szCs w:val="20"/>
              </w:rPr>
              <w:t>Informationspflichten gemäß Art. 13, 14 DSGVO</w:t>
            </w:r>
          </w:p>
        </w:tc>
        <w:tc>
          <w:tcPr>
            <w:tcW w:w="283" w:type="dxa"/>
          </w:tcPr>
          <w:p w14:paraId="0D77BB7B" w14:textId="77777777" w:rsidR="002D0B11" w:rsidRPr="00F80547" w:rsidRDefault="002D0B11" w:rsidP="00F80547">
            <w:pPr>
              <w:jc w:val="both"/>
              <w:rPr>
                <w:sz w:val="20"/>
                <w:szCs w:val="20"/>
              </w:rPr>
            </w:pPr>
          </w:p>
        </w:tc>
        <w:tc>
          <w:tcPr>
            <w:tcW w:w="4389" w:type="dxa"/>
          </w:tcPr>
          <w:p w14:paraId="45600792" w14:textId="38EE34F3" w:rsidR="002D0B11" w:rsidRPr="00F80547" w:rsidRDefault="00F80547" w:rsidP="00F80547">
            <w:pPr>
              <w:jc w:val="both"/>
              <w:rPr>
                <w:sz w:val="20"/>
                <w:szCs w:val="20"/>
              </w:rPr>
            </w:pPr>
            <w:r w:rsidRPr="00F80547">
              <w:rPr>
                <w:sz w:val="20"/>
                <w:szCs w:val="20"/>
              </w:rPr>
              <w:t>Lidl Dienstleistung &amp; Co. KG</w:t>
            </w:r>
          </w:p>
        </w:tc>
      </w:tr>
      <w:tr w:rsidR="002D0B11" w:rsidRPr="00F80547" w14:paraId="03A27FF1" w14:textId="77777777" w:rsidTr="00564E5C">
        <w:tc>
          <w:tcPr>
            <w:tcW w:w="4390" w:type="dxa"/>
          </w:tcPr>
          <w:p w14:paraId="324F5910" w14:textId="77777777" w:rsidR="002D0B11" w:rsidRPr="00F80547" w:rsidRDefault="002D0B11" w:rsidP="00F80547">
            <w:pPr>
              <w:jc w:val="both"/>
              <w:rPr>
                <w:sz w:val="20"/>
                <w:szCs w:val="20"/>
              </w:rPr>
            </w:pPr>
            <w:r w:rsidRPr="00F80547">
              <w:rPr>
                <w:sz w:val="20"/>
                <w:szCs w:val="20"/>
              </w:rPr>
              <w:t>Erhebung</w:t>
            </w:r>
          </w:p>
        </w:tc>
        <w:tc>
          <w:tcPr>
            <w:tcW w:w="283" w:type="dxa"/>
          </w:tcPr>
          <w:p w14:paraId="29187F73" w14:textId="77777777" w:rsidR="002D0B11" w:rsidRPr="00F80547" w:rsidRDefault="002D0B11" w:rsidP="00F80547">
            <w:pPr>
              <w:jc w:val="both"/>
              <w:rPr>
                <w:sz w:val="20"/>
                <w:szCs w:val="20"/>
              </w:rPr>
            </w:pPr>
          </w:p>
        </w:tc>
        <w:tc>
          <w:tcPr>
            <w:tcW w:w="4389" w:type="dxa"/>
          </w:tcPr>
          <w:p w14:paraId="2BDE20F1" w14:textId="14948DD9" w:rsidR="002D0B11" w:rsidRPr="00F80547" w:rsidRDefault="00CB25C2" w:rsidP="00F80547">
            <w:pPr>
              <w:jc w:val="both"/>
              <w:rPr>
                <w:sz w:val="20"/>
                <w:szCs w:val="20"/>
              </w:rPr>
            </w:pPr>
            <w:r w:rsidRPr="00F80547">
              <w:rPr>
                <w:sz w:val="20"/>
                <w:szCs w:val="20"/>
              </w:rPr>
              <w:t>Beide Gesellschaften</w:t>
            </w:r>
          </w:p>
        </w:tc>
      </w:tr>
      <w:tr w:rsidR="002D0B11" w:rsidRPr="00F80547" w14:paraId="66D3D0D7" w14:textId="77777777" w:rsidTr="00564E5C">
        <w:tc>
          <w:tcPr>
            <w:tcW w:w="4390" w:type="dxa"/>
          </w:tcPr>
          <w:p w14:paraId="0C12F17C" w14:textId="77777777" w:rsidR="002D0B11" w:rsidRPr="00F80547" w:rsidRDefault="002D0B11" w:rsidP="00F80547">
            <w:pPr>
              <w:jc w:val="both"/>
              <w:rPr>
                <w:sz w:val="20"/>
                <w:szCs w:val="20"/>
              </w:rPr>
            </w:pPr>
            <w:r w:rsidRPr="00F80547">
              <w:rPr>
                <w:sz w:val="20"/>
                <w:szCs w:val="20"/>
              </w:rPr>
              <w:t>Speicherung</w:t>
            </w:r>
          </w:p>
        </w:tc>
        <w:tc>
          <w:tcPr>
            <w:tcW w:w="283" w:type="dxa"/>
          </w:tcPr>
          <w:p w14:paraId="4DC6C69D" w14:textId="77777777" w:rsidR="002D0B11" w:rsidRPr="00F80547" w:rsidRDefault="002D0B11" w:rsidP="00F80547">
            <w:pPr>
              <w:jc w:val="both"/>
              <w:rPr>
                <w:sz w:val="20"/>
                <w:szCs w:val="20"/>
              </w:rPr>
            </w:pPr>
          </w:p>
        </w:tc>
        <w:tc>
          <w:tcPr>
            <w:tcW w:w="4389" w:type="dxa"/>
          </w:tcPr>
          <w:p w14:paraId="5DBE4116" w14:textId="011A07F9" w:rsidR="002D0B11" w:rsidRPr="00F80547" w:rsidRDefault="00F80547" w:rsidP="00F80547">
            <w:pPr>
              <w:tabs>
                <w:tab w:val="left" w:pos="1453"/>
              </w:tabs>
              <w:jc w:val="both"/>
              <w:rPr>
                <w:sz w:val="20"/>
                <w:szCs w:val="20"/>
              </w:rPr>
            </w:pPr>
            <w:r w:rsidRPr="00F80547">
              <w:rPr>
                <w:sz w:val="20"/>
                <w:szCs w:val="20"/>
              </w:rPr>
              <w:t>Beide Gesellschaften</w:t>
            </w:r>
          </w:p>
        </w:tc>
      </w:tr>
      <w:tr w:rsidR="002D0B11" w:rsidRPr="00F80547" w14:paraId="5B3763AB" w14:textId="77777777" w:rsidTr="00564E5C">
        <w:tc>
          <w:tcPr>
            <w:tcW w:w="4390" w:type="dxa"/>
          </w:tcPr>
          <w:p w14:paraId="66FFBEDD" w14:textId="77777777" w:rsidR="002D0B11" w:rsidRPr="00F80547" w:rsidRDefault="002D0B11" w:rsidP="00F80547">
            <w:pPr>
              <w:jc w:val="both"/>
              <w:rPr>
                <w:sz w:val="20"/>
                <w:szCs w:val="20"/>
              </w:rPr>
            </w:pPr>
            <w:r w:rsidRPr="00F80547">
              <w:rPr>
                <w:sz w:val="20"/>
                <w:szCs w:val="20"/>
              </w:rPr>
              <w:t>Übermittlung</w:t>
            </w:r>
          </w:p>
        </w:tc>
        <w:tc>
          <w:tcPr>
            <w:tcW w:w="283" w:type="dxa"/>
          </w:tcPr>
          <w:p w14:paraId="7C4A20AA" w14:textId="77777777" w:rsidR="002D0B11" w:rsidRPr="00F80547" w:rsidRDefault="002D0B11" w:rsidP="00F80547">
            <w:pPr>
              <w:jc w:val="both"/>
              <w:rPr>
                <w:sz w:val="20"/>
                <w:szCs w:val="20"/>
              </w:rPr>
            </w:pPr>
          </w:p>
        </w:tc>
        <w:tc>
          <w:tcPr>
            <w:tcW w:w="4389" w:type="dxa"/>
          </w:tcPr>
          <w:p w14:paraId="42D407AE" w14:textId="396C2B8B" w:rsidR="002D0B11" w:rsidRPr="00F80547" w:rsidRDefault="00CB25C2" w:rsidP="00F80547">
            <w:pPr>
              <w:jc w:val="both"/>
              <w:rPr>
                <w:sz w:val="20"/>
                <w:szCs w:val="20"/>
              </w:rPr>
            </w:pPr>
            <w:r w:rsidRPr="00F80547">
              <w:rPr>
                <w:sz w:val="20"/>
                <w:szCs w:val="20"/>
              </w:rPr>
              <w:t>Beide Gesellschaften</w:t>
            </w:r>
          </w:p>
        </w:tc>
      </w:tr>
      <w:tr w:rsidR="002D0B11" w:rsidRPr="00F80547" w14:paraId="1F2897D1" w14:textId="77777777" w:rsidTr="00564E5C">
        <w:tc>
          <w:tcPr>
            <w:tcW w:w="4390" w:type="dxa"/>
          </w:tcPr>
          <w:p w14:paraId="76F77F91" w14:textId="77777777" w:rsidR="002D0B11" w:rsidRPr="00F80547" w:rsidRDefault="002D0B11" w:rsidP="00F80547">
            <w:pPr>
              <w:jc w:val="both"/>
              <w:rPr>
                <w:sz w:val="20"/>
                <w:szCs w:val="20"/>
              </w:rPr>
            </w:pPr>
            <w:r w:rsidRPr="00F80547">
              <w:rPr>
                <w:sz w:val="20"/>
                <w:szCs w:val="20"/>
              </w:rPr>
              <w:t>Nutzung</w:t>
            </w:r>
          </w:p>
        </w:tc>
        <w:tc>
          <w:tcPr>
            <w:tcW w:w="283" w:type="dxa"/>
          </w:tcPr>
          <w:p w14:paraId="0FE5E5D3" w14:textId="77777777" w:rsidR="002D0B11" w:rsidRPr="00F80547" w:rsidRDefault="002D0B11" w:rsidP="00F80547">
            <w:pPr>
              <w:jc w:val="both"/>
              <w:rPr>
                <w:sz w:val="20"/>
                <w:szCs w:val="20"/>
              </w:rPr>
            </w:pPr>
          </w:p>
        </w:tc>
        <w:tc>
          <w:tcPr>
            <w:tcW w:w="4389" w:type="dxa"/>
          </w:tcPr>
          <w:p w14:paraId="01AE84C8" w14:textId="0B28A52E" w:rsidR="002D0B11" w:rsidRPr="00F80547" w:rsidRDefault="00F80547" w:rsidP="00F80547">
            <w:pPr>
              <w:jc w:val="both"/>
              <w:rPr>
                <w:sz w:val="20"/>
                <w:szCs w:val="20"/>
              </w:rPr>
            </w:pPr>
            <w:r w:rsidRPr="00F80547">
              <w:rPr>
                <w:sz w:val="20"/>
                <w:szCs w:val="20"/>
              </w:rPr>
              <w:t>Beide Gesellschaften</w:t>
            </w:r>
          </w:p>
        </w:tc>
      </w:tr>
      <w:tr w:rsidR="002D0B11" w:rsidRPr="00F80547" w14:paraId="0CE332CE" w14:textId="77777777" w:rsidTr="00564E5C">
        <w:tc>
          <w:tcPr>
            <w:tcW w:w="4390" w:type="dxa"/>
          </w:tcPr>
          <w:p w14:paraId="7354F861" w14:textId="77777777" w:rsidR="002D0B11" w:rsidRPr="00F80547" w:rsidRDefault="002D0B11" w:rsidP="00F80547">
            <w:pPr>
              <w:jc w:val="both"/>
              <w:rPr>
                <w:sz w:val="20"/>
                <w:szCs w:val="20"/>
              </w:rPr>
            </w:pPr>
            <w:r w:rsidRPr="00F80547">
              <w:rPr>
                <w:sz w:val="20"/>
                <w:szCs w:val="20"/>
              </w:rPr>
              <w:t>Änderung</w:t>
            </w:r>
          </w:p>
        </w:tc>
        <w:tc>
          <w:tcPr>
            <w:tcW w:w="283" w:type="dxa"/>
          </w:tcPr>
          <w:p w14:paraId="1DC98EB6" w14:textId="77777777" w:rsidR="002D0B11" w:rsidRPr="00F80547" w:rsidRDefault="002D0B11" w:rsidP="00F80547">
            <w:pPr>
              <w:jc w:val="both"/>
              <w:rPr>
                <w:sz w:val="20"/>
                <w:szCs w:val="20"/>
              </w:rPr>
            </w:pPr>
          </w:p>
        </w:tc>
        <w:tc>
          <w:tcPr>
            <w:tcW w:w="4389" w:type="dxa"/>
          </w:tcPr>
          <w:p w14:paraId="58749E21" w14:textId="3A7583FE" w:rsidR="002D0B11" w:rsidRPr="00F80547" w:rsidRDefault="00F80547" w:rsidP="00F80547">
            <w:pPr>
              <w:jc w:val="both"/>
              <w:rPr>
                <w:sz w:val="20"/>
                <w:szCs w:val="20"/>
              </w:rPr>
            </w:pPr>
            <w:r w:rsidRPr="00F80547">
              <w:rPr>
                <w:sz w:val="20"/>
                <w:szCs w:val="20"/>
              </w:rPr>
              <w:t>Beide Gesellschaften</w:t>
            </w:r>
          </w:p>
        </w:tc>
      </w:tr>
      <w:tr w:rsidR="002D0B11" w:rsidRPr="00F80547" w14:paraId="69874F93" w14:textId="77777777" w:rsidTr="00564E5C">
        <w:tc>
          <w:tcPr>
            <w:tcW w:w="4390" w:type="dxa"/>
          </w:tcPr>
          <w:p w14:paraId="0320C203" w14:textId="77777777" w:rsidR="002D0B11" w:rsidRPr="00F80547" w:rsidRDefault="002D0B11" w:rsidP="00F80547">
            <w:pPr>
              <w:jc w:val="both"/>
              <w:rPr>
                <w:sz w:val="20"/>
                <w:szCs w:val="20"/>
              </w:rPr>
            </w:pPr>
            <w:r w:rsidRPr="00F80547">
              <w:rPr>
                <w:sz w:val="20"/>
                <w:szCs w:val="20"/>
              </w:rPr>
              <w:t>Sperrung</w:t>
            </w:r>
          </w:p>
        </w:tc>
        <w:tc>
          <w:tcPr>
            <w:tcW w:w="283" w:type="dxa"/>
          </w:tcPr>
          <w:p w14:paraId="1ABF90E8" w14:textId="77777777" w:rsidR="002D0B11" w:rsidRPr="00F80547" w:rsidRDefault="002D0B11" w:rsidP="00F80547">
            <w:pPr>
              <w:jc w:val="both"/>
              <w:rPr>
                <w:sz w:val="20"/>
                <w:szCs w:val="20"/>
              </w:rPr>
            </w:pPr>
          </w:p>
        </w:tc>
        <w:tc>
          <w:tcPr>
            <w:tcW w:w="4389" w:type="dxa"/>
          </w:tcPr>
          <w:p w14:paraId="4226E761" w14:textId="710D5E48" w:rsidR="002D0B11" w:rsidRPr="00F80547" w:rsidRDefault="00F80547" w:rsidP="00F80547">
            <w:pPr>
              <w:jc w:val="both"/>
              <w:rPr>
                <w:sz w:val="20"/>
                <w:szCs w:val="20"/>
              </w:rPr>
            </w:pPr>
            <w:r w:rsidRPr="00F80547">
              <w:rPr>
                <w:sz w:val="20"/>
                <w:szCs w:val="20"/>
              </w:rPr>
              <w:t>Beide Gesellschaften</w:t>
            </w:r>
          </w:p>
        </w:tc>
      </w:tr>
      <w:tr w:rsidR="002D0B11" w:rsidRPr="00F80547" w14:paraId="6945EC67" w14:textId="77777777" w:rsidTr="00564E5C">
        <w:tc>
          <w:tcPr>
            <w:tcW w:w="4390" w:type="dxa"/>
          </w:tcPr>
          <w:p w14:paraId="0704A45B" w14:textId="77777777" w:rsidR="002D0B11" w:rsidRPr="00F80547" w:rsidRDefault="002D0B11" w:rsidP="00F80547">
            <w:pPr>
              <w:jc w:val="both"/>
              <w:rPr>
                <w:sz w:val="20"/>
                <w:szCs w:val="20"/>
              </w:rPr>
            </w:pPr>
            <w:r w:rsidRPr="00F80547">
              <w:rPr>
                <w:sz w:val="20"/>
                <w:szCs w:val="20"/>
              </w:rPr>
              <w:t>Löschung</w:t>
            </w:r>
          </w:p>
        </w:tc>
        <w:tc>
          <w:tcPr>
            <w:tcW w:w="283" w:type="dxa"/>
          </w:tcPr>
          <w:p w14:paraId="5821E464" w14:textId="77777777" w:rsidR="002D0B11" w:rsidRPr="00F80547" w:rsidRDefault="002D0B11" w:rsidP="00F80547">
            <w:pPr>
              <w:jc w:val="both"/>
              <w:rPr>
                <w:sz w:val="20"/>
                <w:szCs w:val="20"/>
              </w:rPr>
            </w:pPr>
          </w:p>
        </w:tc>
        <w:tc>
          <w:tcPr>
            <w:tcW w:w="4389" w:type="dxa"/>
          </w:tcPr>
          <w:p w14:paraId="2743A60C" w14:textId="3C30074F" w:rsidR="002D0B11" w:rsidRPr="00F80547" w:rsidRDefault="00F80547" w:rsidP="00F80547">
            <w:pPr>
              <w:jc w:val="both"/>
              <w:rPr>
                <w:sz w:val="20"/>
                <w:szCs w:val="20"/>
              </w:rPr>
            </w:pPr>
            <w:r w:rsidRPr="00F80547">
              <w:rPr>
                <w:sz w:val="20"/>
                <w:szCs w:val="20"/>
              </w:rPr>
              <w:t>Beide Gesellschaften</w:t>
            </w:r>
          </w:p>
        </w:tc>
      </w:tr>
      <w:tr w:rsidR="002D0B11" w:rsidRPr="00F80547" w14:paraId="6E39B2F5" w14:textId="77777777" w:rsidTr="00564E5C">
        <w:tc>
          <w:tcPr>
            <w:tcW w:w="4390" w:type="dxa"/>
          </w:tcPr>
          <w:p w14:paraId="3A8B27A6" w14:textId="77777777" w:rsidR="002D0B11" w:rsidRPr="00F80547" w:rsidRDefault="002D0B11" w:rsidP="00F80547">
            <w:pPr>
              <w:jc w:val="both"/>
              <w:rPr>
                <w:sz w:val="20"/>
                <w:szCs w:val="20"/>
              </w:rPr>
            </w:pPr>
            <w:r w:rsidRPr="00F80547">
              <w:rPr>
                <w:sz w:val="20"/>
                <w:szCs w:val="20"/>
              </w:rPr>
              <w:t>Auskunftspflicht gem. Art. 15 DSGVO</w:t>
            </w:r>
          </w:p>
        </w:tc>
        <w:tc>
          <w:tcPr>
            <w:tcW w:w="283" w:type="dxa"/>
          </w:tcPr>
          <w:p w14:paraId="077CEB4B" w14:textId="77777777" w:rsidR="002D0B11" w:rsidRPr="00F80547" w:rsidRDefault="002D0B11" w:rsidP="00F80547">
            <w:pPr>
              <w:jc w:val="both"/>
              <w:rPr>
                <w:sz w:val="20"/>
                <w:szCs w:val="20"/>
              </w:rPr>
            </w:pPr>
          </w:p>
        </w:tc>
        <w:tc>
          <w:tcPr>
            <w:tcW w:w="4389" w:type="dxa"/>
          </w:tcPr>
          <w:p w14:paraId="5E5B4382" w14:textId="7C3B28CF" w:rsidR="002D0B11" w:rsidRPr="00F80547" w:rsidRDefault="00F80547" w:rsidP="00F80547">
            <w:pPr>
              <w:jc w:val="both"/>
              <w:rPr>
                <w:sz w:val="20"/>
                <w:szCs w:val="20"/>
              </w:rPr>
            </w:pPr>
            <w:r w:rsidRPr="00F80547">
              <w:rPr>
                <w:sz w:val="20"/>
                <w:szCs w:val="20"/>
              </w:rPr>
              <w:t>Lidl Dienstleistung &amp; Co. KG</w:t>
            </w:r>
          </w:p>
        </w:tc>
      </w:tr>
    </w:tbl>
    <w:p w14:paraId="36934DF3" w14:textId="77777777" w:rsidR="002D0B11" w:rsidRPr="00F80547" w:rsidRDefault="002D0B11" w:rsidP="00F80547">
      <w:pPr>
        <w:jc w:val="both"/>
        <w:rPr>
          <w:sz w:val="20"/>
          <w:szCs w:val="20"/>
        </w:rPr>
      </w:pPr>
    </w:p>
    <w:p w14:paraId="4C224150" w14:textId="2C6BEBEC" w:rsidR="002D0B11" w:rsidRPr="00F80547" w:rsidRDefault="002D0B11" w:rsidP="00F80547">
      <w:pPr>
        <w:jc w:val="both"/>
        <w:rPr>
          <w:sz w:val="20"/>
          <w:szCs w:val="20"/>
        </w:rPr>
      </w:pPr>
      <w:r w:rsidRPr="00F80547">
        <w:rPr>
          <w:sz w:val="20"/>
          <w:szCs w:val="20"/>
        </w:rPr>
        <w:t xml:space="preserve">Auch wenn eine gemeinsame Verantwortlichkeit besteht, erfüllen die Parteien die datenschutzrechtlichen Pflichten entsprechend </w:t>
      </w:r>
      <w:r w:rsidR="00094055" w:rsidRPr="00F80547">
        <w:rPr>
          <w:sz w:val="20"/>
          <w:szCs w:val="20"/>
        </w:rPr>
        <w:t>ihren jeweiligen Zuständigkeiten</w:t>
      </w:r>
      <w:r w:rsidRPr="00F80547">
        <w:rPr>
          <w:sz w:val="20"/>
          <w:szCs w:val="20"/>
        </w:rPr>
        <w:t xml:space="preserve"> für die einzelnen Prozessabschnitte wie folgt: </w:t>
      </w:r>
    </w:p>
    <w:p w14:paraId="59307254" w14:textId="77777777" w:rsidR="002D0B11" w:rsidRPr="00F80547" w:rsidRDefault="002D0B11" w:rsidP="00F80547">
      <w:pPr>
        <w:pStyle w:val="Listenabsatz"/>
        <w:numPr>
          <w:ilvl w:val="0"/>
          <w:numId w:val="1"/>
        </w:numPr>
        <w:jc w:val="both"/>
        <w:rPr>
          <w:sz w:val="20"/>
          <w:szCs w:val="20"/>
        </w:rPr>
      </w:pPr>
      <w:r w:rsidRPr="00F80547">
        <w:rPr>
          <w:sz w:val="20"/>
          <w:szCs w:val="20"/>
        </w:rPr>
        <w:t xml:space="preserve">Im Rahmen der gemeinsamen Verantwortlichkeit ist jede Gesellschaft entsprechend der obigen Tabelle zuständig. </w:t>
      </w:r>
    </w:p>
    <w:p w14:paraId="329ED94F" w14:textId="082020AA" w:rsidR="002D0B11" w:rsidRPr="00F80547" w:rsidRDefault="002D0B11" w:rsidP="00F80547">
      <w:pPr>
        <w:pStyle w:val="Listenabsatz"/>
        <w:numPr>
          <w:ilvl w:val="0"/>
          <w:numId w:val="1"/>
        </w:numPr>
        <w:jc w:val="both"/>
        <w:rPr>
          <w:sz w:val="20"/>
          <w:szCs w:val="20"/>
        </w:rPr>
      </w:pPr>
      <w:r w:rsidRPr="00F80547">
        <w:rPr>
          <w:sz w:val="20"/>
          <w:szCs w:val="20"/>
        </w:rPr>
        <w:lastRenderedPageBreak/>
        <w:t xml:space="preserve">Die </w:t>
      </w:r>
      <w:r w:rsidR="00F80547" w:rsidRPr="00F80547">
        <w:rPr>
          <w:sz w:val="20"/>
          <w:szCs w:val="20"/>
        </w:rPr>
        <w:t xml:space="preserve">Lidl Dienstleistung &amp; Co. KG </w:t>
      </w:r>
      <w:r w:rsidRPr="00F80547">
        <w:rPr>
          <w:sz w:val="20"/>
          <w:szCs w:val="20"/>
        </w:rPr>
        <w:t xml:space="preserve">macht den betroffenen Personen die gem. Art. 13, 14 DSGVO erforderlichen Informationen in präziser, transparenter, verständlicher und leicht zugänglicher Form in einer klaren und einfachen Sprache unentgeltlich zugänglich. </w:t>
      </w:r>
    </w:p>
    <w:p w14:paraId="1303688B" w14:textId="77777777" w:rsidR="002D0B11" w:rsidRPr="00F80547" w:rsidRDefault="002D0B11" w:rsidP="00F80547">
      <w:pPr>
        <w:pStyle w:val="Listenabsatz"/>
        <w:numPr>
          <w:ilvl w:val="0"/>
          <w:numId w:val="1"/>
        </w:numPr>
        <w:jc w:val="both"/>
        <w:rPr>
          <w:sz w:val="20"/>
          <w:szCs w:val="20"/>
        </w:rPr>
      </w:pPr>
      <w:r w:rsidRPr="00F80547">
        <w:rPr>
          <w:sz w:val="20"/>
          <w:szCs w:val="20"/>
        </w:rPr>
        <w:t xml:space="preserve">Die Gesellschaften informieren sich unverzüglich gegenseitig über von Betroffenen geltend gemachte Rechtspositionen. Sie stellen einander sämtliche für die Beantwortung von Auskunftsersuchen notwendigen Informationen zur Verfügung. </w:t>
      </w:r>
    </w:p>
    <w:p w14:paraId="69626375" w14:textId="51118F5B" w:rsidR="00F80547" w:rsidRPr="00C657B0" w:rsidRDefault="002D0B11" w:rsidP="00C657B0">
      <w:pPr>
        <w:pStyle w:val="Listenabsatz"/>
        <w:numPr>
          <w:ilvl w:val="0"/>
          <w:numId w:val="1"/>
        </w:numPr>
        <w:jc w:val="both"/>
        <w:rPr>
          <w:sz w:val="20"/>
          <w:szCs w:val="20"/>
        </w:rPr>
      </w:pPr>
      <w:r w:rsidRPr="00C657B0">
        <w:rPr>
          <w:sz w:val="20"/>
          <w:szCs w:val="20"/>
        </w:rPr>
        <w:t xml:space="preserve">Datenschutzrechte können allen beteiligten Gesellschaften geltend gemacht werden. </w:t>
      </w:r>
      <w:r w:rsidR="00F80547" w:rsidRPr="00C657B0">
        <w:rPr>
          <w:sz w:val="20"/>
          <w:szCs w:val="20"/>
        </w:rPr>
        <w:t>ProVeg e.V. ist dazu verpflichtet, das Ersuchen einer betroffenen Person an Lidl Dienstleistung &amp; Co. KG unverzüglich weiterzuleiten.</w:t>
      </w:r>
    </w:p>
    <w:p w14:paraId="6165DEA2" w14:textId="4FB53D15" w:rsidR="002D0B11" w:rsidRPr="00F80547" w:rsidRDefault="002D0B11" w:rsidP="00F80547">
      <w:pPr>
        <w:jc w:val="both"/>
        <w:rPr>
          <w:sz w:val="20"/>
          <w:szCs w:val="20"/>
          <w:u w:val="single"/>
        </w:rPr>
      </w:pPr>
      <w:r w:rsidRPr="00F80547">
        <w:rPr>
          <w:sz w:val="20"/>
          <w:szCs w:val="20"/>
          <w:u w:val="single"/>
        </w:rPr>
        <w:t xml:space="preserve">Verantwortlich i.S.d. Art. </w:t>
      </w:r>
      <w:r w:rsidR="00C657B0">
        <w:rPr>
          <w:sz w:val="20"/>
          <w:szCs w:val="20"/>
          <w:u w:val="single"/>
        </w:rPr>
        <w:t>4</w:t>
      </w:r>
      <w:r w:rsidRPr="00F80547">
        <w:rPr>
          <w:sz w:val="20"/>
          <w:szCs w:val="20"/>
          <w:u w:val="single"/>
        </w:rPr>
        <w:t xml:space="preserve"> Nr. 7 DSGVO</w:t>
      </w:r>
    </w:p>
    <w:p w14:paraId="07FE049E" w14:textId="3CA948B8" w:rsidR="002D0B11" w:rsidRDefault="00C657B0" w:rsidP="00C657B0">
      <w:pPr>
        <w:pStyle w:val="Listenabsatz"/>
        <w:numPr>
          <w:ilvl w:val="0"/>
          <w:numId w:val="3"/>
        </w:numPr>
        <w:jc w:val="both"/>
        <w:rPr>
          <w:sz w:val="20"/>
          <w:szCs w:val="20"/>
        </w:rPr>
      </w:pPr>
      <w:r w:rsidRPr="00C657B0">
        <w:rPr>
          <w:sz w:val="20"/>
          <w:szCs w:val="20"/>
        </w:rPr>
        <w:t>Lidl Dienstleistung &amp; Co. KG, Bonfelder Str. 2, 74206 Bad Wimpfen</w:t>
      </w:r>
    </w:p>
    <w:p w14:paraId="3C81ED4F" w14:textId="448C0260" w:rsidR="00C657B0" w:rsidRPr="00C657B0" w:rsidRDefault="00C657B0" w:rsidP="00C657B0">
      <w:pPr>
        <w:pStyle w:val="Listenabsatz"/>
        <w:numPr>
          <w:ilvl w:val="0"/>
          <w:numId w:val="3"/>
        </w:numPr>
        <w:jc w:val="both"/>
        <w:rPr>
          <w:sz w:val="20"/>
          <w:szCs w:val="20"/>
        </w:rPr>
      </w:pPr>
      <w:r w:rsidRPr="00F80547">
        <w:rPr>
          <w:sz w:val="20"/>
          <w:szCs w:val="20"/>
        </w:rPr>
        <w:t>ProVeg e.V., Genthiner Straße 48, 10785 Berlin</w:t>
      </w:r>
    </w:p>
    <w:p w14:paraId="2D3F4DFC" w14:textId="77777777" w:rsidR="002D0B11" w:rsidRPr="00F80547" w:rsidRDefault="002D0B11" w:rsidP="00F80547">
      <w:pPr>
        <w:jc w:val="both"/>
        <w:rPr>
          <w:sz w:val="20"/>
          <w:szCs w:val="20"/>
          <w:u w:val="single"/>
        </w:rPr>
      </w:pPr>
      <w:r w:rsidRPr="00F80547">
        <w:rPr>
          <w:sz w:val="20"/>
          <w:szCs w:val="20"/>
          <w:u w:val="single"/>
        </w:rPr>
        <w:t>Kontaktdaten des Datenschutzbeauftragten:</w:t>
      </w:r>
    </w:p>
    <w:p w14:paraId="709F945C" w14:textId="77777777" w:rsidR="002D0B11" w:rsidRPr="00F80547" w:rsidRDefault="002D0B11" w:rsidP="00F80547">
      <w:pPr>
        <w:jc w:val="both"/>
        <w:rPr>
          <w:sz w:val="20"/>
          <w:szCs w:val="20"/>
        </w:rPr>
      </w:pPr>
      <w:r w:rsidRPr="00F80547">
        <w:rPr>
          <w:sz w:val="20"/>
          <w:szCs w:val="20"/>
        </w:rPr>
        <w:t xml:space="preserve">Du kannst dich bei Fragen zum Datenschutz oder im Falle von Beschwerden an: </w:t>
      </w:r>
      <w:hyperlink r:id="rId8" w:history="1">
        <w:r w:rsidRPr="00F80547">
          <w:rPr>
            <w:rStyle w:val="Hyperlink"/>
            <w:sz w:val="20"/>
            <w:szCs w:val="20"/>
            <w:u w:val="none"/>
          </w:rPr>
          <w:t>datenschutz@lidl.de</w:t>
        </w:r>
      </w:hyperlink>
      <w:r w:rsidRPr="00F80547">
        <w:rPr>
          <w:sz w:val="20"/>
          <w:szCs w:val="20"/>
        </w:rPr>
        <w:t xml:space="preserve"> wenden.</w:t>
      </w:r>
    </w:p>
    <w:p w14:paraId="6DCD3DCE" w14:textId="3FEA6330" w:rsidR="00D910A2" w:rsidRDefault="00667100" w:rsidP="00F80547">
      <w:pPr>
        <w:jc w:val="both"/>
        <w:rPr>
          <w:sz w:val="20"/>
          <w:szCs w:val="20"/>
          <w:u w:val="single"/>
        </w:rPr>
      </w:pPr>
      <w:r>
        <w:rPr>
          <w:sz w:val="20"/>
          <w:szCs w:val="20"/>
          <w:u w:val="single"/>
        </w:rPr>
        <w:t xml:space="preserve">Deine </w:t>
      </w:r>
      <w:r w:rsidR="00D910A2" w:rsidRPr="00C824D9">
        <w:rPr>
          <w:sz w:val="20"/>
          <w:szCs w:val="20"/>
          <w:u w:val="single"/>
        </w:rPr>
        <w:t>Rechte als betroffene Person:</w:t>
      </w:r>
    </w:p>
    <w:p w14:paraId="00938151" w14:textId="57DB4B1F" w:rsidR="00667100" w:rsidRDefault="00667100" w:rsidP="00F80547">
      <w:pPr>
        <w:jc w:val="both"/>
        <w:rPr>
          <w:sz w:val="20"/>
          <w:szCs w:val="20"/>
        </w:rPr>
      </w:pPr>
      <w:r>
        <w:rPr>
          <w:sz w:val="20"/>
          <w:szCs w:val="20"/>
        </w:rPr>
        <w:t xml:space="preserve">Es besteht gemäß Art. 15 DSGVO ein Recht auf Auskunft seitens des Verantwortlichen über die dich betreffenden personenbezogenen Daten sowie nach Art. 16 DSGVO auf Berichtigung unrichtiger Daten oder auf Löschung, sofern einer der in Art. 17 DSGVO genannten Gründe vorliegt, z.B. wenn die Daten für die verfolgten Zwecke nicht mehr benötigt werden. Es besteht zudem das Recht auf Einschränkung der Verarbeitung, wenn eine der in Art. 18 DSGVO genannten Voraussetzungen vorliegt und in den Fällen des Art. 20 DSGVO das Recht auf Datenübertragbarkeit. </w:t>
      </w:r>
    </w:p>
    <w:p w14:paraId="6C5EA85E" w14:textId="463A6FF7" w:rsidR="00C824D9" w:rsidRPr="003C23DD" w:rsidRDefault="00667100" w:rsidP="00F80547">
      <w:pPr>
        <w:jc w:val="both"/>
        <w:rPr>
          <w:sz w:val="20"/>
          <w:szCs w:val="20"/>
        </w:rPr>
      </w:pPr>
      <w:r>
        <w:rPr>
          <w:sz w:val="20"/>
          <w:szCs w:val="20"/>
        </w:rPr>
        <w:t>Sofern die Datenverarbeitung auf deiner Einwilligung gemäß Art. 6 Abs. 1 lit. a) DSGVO beruht, kannst du deine Einwilligung jederzeit widerrufen, ohne dass der Widerruf die Rechtmäßigkeit der Datenverarbeitung bis zum Zeitpunkt des Widerruf</w:t>
      </w:r>
      <w:r w:rsidR="00CD6F51">
        <w:rPr>
          <w:sz w:val="20"/>
          <w:szCs w:val="20"/>
        </w:rPr>
        <w:t>s berührt. Zudem kannst du Datenverarbeitungen nach Art. 21 DSGVO widersprechen, soweit die Verarbeitung gemäß Art. 6 Abs.1 lit. f</w:t>
      </w:r>
      <w:r w:rsidR="00954770">
        <w:rPr>
          <w:sz w:val="20"/>
          <w:szCs w:val="20"/>
        </w:rPr>
        <w:t>)</w:t>
      </w:r>
      <w:r w:rsidR="00CD6F51">
        <w:rPr>
          <w:sz w:val="20"/>
          <w:szCs w:val="20"/>
        </w:rPr>
        <w:t xml:space="preserve"> DSGVO erfolgt.</w:t>
      </w:r>
    </w:p>
    <w:p w14:paraId="37242EB4" w14:textId="038C9DB8" w:rsidR="00D910A2" w:rsidRPr="00C824D9" w:rsidRDefault="00D910A2" w:rsidP="00F80547">
      <w:pPr>
        <w:jc w:val="both"/>
        <w:rPr>
          <w:sz w:val="20"/>
          <w:szCs w:val="20"/>
          <w:u w:val="single"/>
        </w:rPr>
      </w:pPr>
      <w:r w:rsidRPr="00C824D9">
        <w:rPr>
          <w:sz w:val="20"/>
          <w:szCs w:val="20"/>
          <w:u w:val="single"/>
        </w:rPr>
        <w:t>Beschwerderecht bei einer Aufsichtsbehörde:</w:t>
      </w:r>
    </w:p>
    <w:p w14:paraId="48CBBD3C" w14:textId="4A59A954" w:rsidR="00C824D9" w:rsidRPr="00667100" w:rsidRDefault="00667100" w:rsidP="00F80547">
      <w:pPr>
        <w:jc w:val="both"/>
        <w:rPr>
          <w:sz w:val="20"/>
          <w:szCs w:val="20"/>
        </w:rPr>
      </w:pPr>
      <w:r>
        <w:rPr>
          <w:sz w:val="20"/>
          <w:szCs w:val="20"/>
        </w:rPr>
        <w:t>Du hast das Recht auf Beschwerde bei einer Aufsichtsbehörde, wenn du der Ansicht bist, dass die Verarbeitung der dich betreffenden Daten gegen datenschutzrechtliche Bestimmungen verstößt. Das Beschwerderecht kann bei der Aufsichtsbehörde Baden- Württemberg geltend gemacht werden, die für die Lidl Dienstleistung zuständig ist oder bei der Datenschutz- Aufsichtsbehörde des Bundeslandes, in welchem du deinen Wohnsitz hast.</w:t>
      </w:r>
    </w:p>
    <w:p w14:paraId="31C4B390" w14:textId="7F18B7A0" w:rsidR="00D910A2" w:rsidRPr="00C824D9" w:rsidRDefault="00D910A2" w:rsidP="00F80547">
      <w:pPr>
        <w:jc w:val="both"/>
        <w:rPr>
          <w:sz w:val="20"/>
          <w:szCs w:val="20"/>
          <w:u w:val="single"/>
        </w:rPr>
      </w:pPr>
      <w:r w:rsidRPr="00C824D9">
        <w:rPr>
          <w:sz w:val="20"/>
          <w:szCs w:val="20"/>
          <w:u w:val="single"/>
        </w:rPr>
        <w:t>Verpflichtung der Bereitstellung:</w:t>
      </w:r>
    </w:p>
    <w:p w14:paraId="6699C4DE" w14:textId="4B18D4A8" w:rsidR="00C824D9" w:rsidRPr="00C824D9" w:rsidRDefault="00C824D9" w:rsidP="00F80547">
      <w:pPr>
        <w:jc w:val="both"/>
        <w:rPr>
          <w:sz w:val="20"/>
          <w:szCs w:val="20"/>
        </w:rPr>
      </w:pPr>
      <w:r w:rsidRPr="00C824D9">
        <w:rPr>
          <w:sz w:val="20"/>
          <w:szCs w:val="20"/>
        </w:rPr>
        <w:t>Die Bereitstellung der personenbezogenen Daten ist weder gesetzlich noch vertraglich vorgeschrieben. Sie ist allerdings für die Teilnahme am Gewinnspiel erforderlich. Mögliche Folge der Nichtbereitstellung ist die Nichtteilnahme am Gewinnspiel.</w:t>
      </w:r>
    </w:p>
    <w:p w14:paraId="05BCB990" w14:textId="00A4152F" w:rsidR="00D910A2" w:rsidRPr="00C824D9" w:rsidRDefault="00D910A2" w:rsidP="00F80547">
      <w:pPr>
        <w:jc w:val="both"/>
        <w:rPr>
          <w:sz w:val="20"/>
          <w:szCs w:val="20"/>
          <w:u w:val="single"/>
        </w:rPr>
      </w:pPr>
      <w:r w:rsidRPr="00C824D9">
        <w:rPr>
          <w:sz w:val="20"/>
          <w:szCs w:val="20"/>
          <w:u w:val="single"/>
        </w:rPr>
        <w:t xml:space="preserve">Bestehen einer automatisierten Entscheidungsfindung: </w:t>
      </w:r>
    </w:p>
    <w:p w14:paraId="1ECB3123" w14:textId="7EEAA342" w:rsidR="004A63FF" w:rsidRDefault="00C824D9" w:rsidP="00F80547">
      <w:pPr>
        <w:jc w:val="both"/>
        <w:rPr>
          <w:sz w:val="20"/>
          <w:szCs w:val="20"/>
        </w:rPr>
      </w:pPr>
      <w:r w:rsidRPr="00C824D9">
        <w:rPr>
          <w:sz w:val="20"/>
          <w:szCs w:val="20"/>
        </w:rPr>
        <w:t>Es besteht keine automatisierte Entscheidungsfindung einschließlich Profiling gemäß Art</w:t>
      </w:r>
      <w:r w:rsidR="00954770">
        <w:rPr>
          <w:sz w:val="20"/>
          <w:szCs w:val="20"/>
        </w:rPr>
        <w:t xml:space="preserve">. </w:t>
      </w:r>
      <w:r w:rsidRPr="00C824D9">
        <w:rPr>
          <w:sz w:val="20"/>
          <w:szCs w:val="20"/>
        </w:rPr>
        <w:t>22 Absätze 1 und 4 DSGVO.</w:t>
      </w:r>
    </w:p>
    <w:sectPr w:rsidR="004A63F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AB1EA" w14:textId="77777777" w:rsidR="00613A78" w:rsidRDefault="00613A78" w:rsidP="008C5049">
      <w:pPr>
        <w:spacing w:after="0" w:line="240" w:lineRule="auto"/>
      </w:pPr>
      <w:r>
        <w:separator/>
      </w:r>
    </w:p>
  </w:endnote>
  <w:endnote w:type="continuationSeparator" w:id="0">
    <w:p w14:paraId="136C6759" w14:textId="77777777" w:rsidR="00613A78" w:rsidRDefault="00613A78" w:rsidP="008C5049">
      <w:pPr>
        <w:spacing w:after="0" w:line="240" w:lineRule="auto"/>
      </w:pPr>
      <w:r>
        <w:continuationSeparator/>
      </w:r>
    </w:p>
  </w:endnote>
  <w:endnote w:type="continuationNotice" w:id="1">
    <w:p w14:paraId="71F0FCF0" w14:textId="77777777" w:rsidR="00613A78" w:rsidRDefault="00613A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dl Font">
    <w:altName w:val="Calibri"/>
    <w:panose1 w:val="02000000000000000000"/>
    <w:charset w:val="00"/>
    <w:family w:val="modern"/>
    <w:notTrueType/>
    <w:pitch w:val="variable"/>
    <w:sig w:usb0="A000003F" w:usb1="500020CB"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C86DD" w14:textId="77777777" w:rsidR="008C5049" w:rsidRDefault="008C50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F34FB" w14:textId="77777777" w:rsidR="008C5049" w:rsidRDefault="008C50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4E9B" w14:textId="77777777" w:rsidR="008C5049" w:rsidRDefault="008C50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72710" w14:textId="77777777" w:rsidR="00613A78" w:rsidRDefault="00613A78" w:rsidP="008C5049">
      <w:pPr>
        <w:spacing w:after="0" w:line="240" w:lineRule="auto"/>
      </w:pPr>
      <w:r>
        <w:separator/>
      </w:r>
    </w:p>
  </w:footnote>
  <w:footnote w:type="continuationSeparator" w:id="0">
    <w:p w14:paraId="3ED5340F" w14:textId="77777777" w:rsidR="00613A78" w:rsidRDefault="00613A78" w:rsidP="008C5049">
      <w:pPr>
        <w:spacing w:after="0" w:line="240" w:lineRule="auto"/>
      </w:pPr>
      <w:r>
        <w:continuationSeparator/>
      </w:r>
    </w:p>
  </w:footnote>
  <w:footnote w:type="continuationNotice" w:id="1">
    <w:p w14:paraId="372D84E2" w14:textId="77777777" w:rsidR="00613A78" w:rsidRDefault="00613A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757B" w14:textId="77777777" w:rsidR="008C5049" w:rsidRDefault="008C50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306378"/>
      <w:docPartObj>
        <w:docPartGallery w:val="Watermarks"/>
        <w:docPartUnique/>
      </w:docPartObj>
    </w:sdtPr>
    <w:sdtContent>
      <w:p w14:paraId="66672126" w14:textId="179D0C7C" w:rsidR="008C5049" w:rsidRDefault="00000000">
        <w:pPr>
          <w:pStyle w:val="Kopfzeile"/>
        </w:pPr>
        <w:r>
          <w:pict w14:anchorId="6F027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31ADA" w14:textId="77777777" w:rsidR="008C5049" w:rsidRDefault="008C50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12B6A"/>
    <w:multiLevelType w:val="hybridMultilevel"/>
    <w:tmpl w:val="9F1C9D2C"/>
    <w:lvl w:ilvl="0" w:tplc="4AB2DBE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2D465C"/>
    <w:multiLevelType w:val="hybridMultilevel"/>
    <w:tmpl w:val="33406FB8"/>
    <w:lvl w:ilvl="0" w:tplc="F9C0EE82">
      <w:numFmt w:val="bullet"/>
      <w:lvlText w:val="-"/>
      <w:lvlJc w:val="left"/>
      <w:pPr>
        <w:ind w:left="720" w:hanging="360"/>
      </w:pPr>
      <w:rPr>
        <w:rFonts w:ascii="Lidl Font" w:eastAsiaTheme="minorHAnsi" w:hAnsi="Lidl Fon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C67177"/>
    <w:multiLevelType w:val="hybridMultilevel"/>
    <w:tmpl w:val="9EC22304"/>
    <w:lvl w:ilvl="0" w:tplc="F9C0EE82">
      <w:numFmt w:val="bullet"/>
      <w:lvlText w:val="-"/>
      <w:lvlJc w:val="left"/>
      <w:pPr>
        <w:ind w:left="720" w:hanging="360"/>
      </w:pPr>
      <w:rPr>
        <w:rFonts w:ascii="Lidl Font" w:eastAsiaTheme="minorHAnsi" w:hAnsi="Lidl Fon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3933126">
    <w:abstractNumId w:val="0"/>
  </w:num>
  <w:num w:numId="2" w16cid:durableId="1062827712">
    <w:abstractNumId w:val="2"/>
  </w:num>
  <w:num w:numId="3" w16cid:durableId="895748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0A2"/>
    <w:rsid w:val="00050AC3"/>
    <w:rsid w:val="00094055"/>
    <w:rsid w:val="001944E9"/>
    <w:rsid w:val="0020232F"/>
    <w:rsid w:val="00211B44"/>
    <w:rsid w:val="002529F5"/>
    <w:rsid w:val="002B0AC0"/>
    <w:rsid w:val="002D0B11"/>
    <w:rsid w:val="003C23DD"/>
    <w:rsid w:val="003D455C"/>
    <w:rsid w:val="004A63FF"/>
    <w:rsid w:val="004C511B"/>
    <w:rsid w:val="004D035F"/>
    <w:rsid w:val="00546941"/>
    <w:rsid w:val="005D322D"/>
    <w:rsid w:val="00613A78"/>
    <w:rsid w:val="00667100"/>
    <w:rsid w:val="00686DE8"/>
    <w:rsid w:val="006B24EC"/>
    <w:rsid w:val="008C5049"/>
    <w:rsid w:val="00954770"/>
    <w:rsid w:val="00974E58"/>
    <w:rsid w:val="00AA2287"/>
    <w:rsid w:val="00B257E6"/>
    <w:rsid w:val="00C657B0"/>
    <w:rsid w:val="00C70208"/>
    <w:rsid w:val="00C824D9"/>
    <w:rsid w:val="00CB25C2"/>
    <w:rsid w:val="00CD391F"/>
    <w:rsid w:val="00CD6F51"/>
    <w:rsid w:val="00D910A2"/>
    <w:rsid w:val="00DB1260"/>
    <w:rsid w:val="00DC52EC"/>
    <w:rsid w:val="00DE0CB2"/>
    <w:rsid w:val="00E562DF"/>
    <w:rsid w:val="00E61D5C"/>
    <w:rsid w:val="00F267FC"/>
    <w:rsid w:val="00F805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FC299"/>
  <w15:chartTrackingRefBased/>
  <w15:docId w15:val="{E09BD2EC-06F6-49FC-BC72-29FAA5DF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910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910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910A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910A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910A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910A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910A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910A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910A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10A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910A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910A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910A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910A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910A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910A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910A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910A2"/>
    <w:rPr>
      <w:rFonts w:eastAsiaTheme="majorEastAsia" w:cstheme="majorBidi"/>
      <w:color w:val="272727" w:themeColor="text1" w:themeTint="D8"/>
    </w:rPr>
  </w:style>
  <w:style w:type="paragraph" w:styleId="Titel">
    <w:name w:val="Title"/>
    <w:basedOn w:val="Standard"/>
    <w:next w:val="Standard"/>
    <w:link w:val="TitelZchn"/>
    <w:uiPriority w:val="10"/>
    <w:qFormat/>
    <w:rsid w:val="00D910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910A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910A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910A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910A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910A2"/>
    <w:rPr>
      <w:i/>
      <w:iCs/>
      <w:color w:val="404040" w:themeColor="text1" w:themeTint="BF"/>
    </w:rPr>
  </w:style>
  <w:style w:type="paragraph" w:styleId="Listenabsatz">
    <w:name w:val="List Paragraph"/>
    <w:basedOn w:val="Standard"/>
    <w:uiPriority w:val="34"/>
    <w:qFormat/>
    <w:rsid w:val="00D910A2"/>
    <w:pPr>
      <w:ind w:left="720"/>
      <w:contextualSpacing/>
    </w:pPr>
  </w:style>
  <w:style w:type="character" w:styleId="IntensiveHervorhebung">
    <w:name w:val="Intense Emphasis"/>
    <w:basedOn w:val="Absatz-Standardschriftart"/>
    <w:uiPriority w:val="21"/>
    <w:qFormat/>
    <w:rsid w:val="00D910A2"/>
    <w:rPr>
      <w:i/>
      <w:iCs/>
      <w:color w:val="0F4761" w:themeColor="accent1" w:themeShade="BF"/>
    </w:rPr>
  </w:style>
  <w:style w:type="paragraph" w:styleId="IntensivesZitat">
    <w:name w:val="Intense Quote"/>
    <w:basedOn w:val="Standard"/>
    <w:next w:val="Standard"/>
    <w:link w:val="IntensivesZitatZchn"/>
    <w:uiPriority w:val="30"/>
    <w:qFormat/>
    <w:rsid w:val="00D910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910A2"/>
    <w:rPr>
      <w:i/>
      <w:iCs/>
      <w:color w:val="0F4761" w:themeColor="accent1" w:themeShade="BF"/>
    </w:rPr>
  </w:style>
  <w:style w:type="character" w:styleId="IntensiverVerweis">
    <w:name w:val="Intense Reference"/>
    <w:basedOn w:val="Absatz-Standardschriftart"/>
    <w:uiPriority w:val="32"/>
    <w:qFormat/>
    <w:rsid w:val="00D910A2"/>
    <w:rPr>
      <w:b/>
      <w:bCs/>
      <w:smallCaps/>
      <w:color w:val="0F4761" w:themeColor="accent1" w:themeShade="BF"/>
      <w:spacing w:val="5"/>
    </w:rPr>
  </w:style>
  <w:style w:type="character" w:styleId="Hyperlink">
    <w:name w:val="Hyperlink"/>
    <w:basedOn w:val="Absatz-Standardschriftart"/>
    <w:uiPriority w:val="99"/>
    <w:unhideWhenUsed/>
    <w:rsid w:val="00C824D9"/>
    <w:rPr>
      <w:color w:val="467886" w:themeColor="hyperlink"/>
      <w:u w:val="single"/>
    </w:rPr>
  </w:style>
  <w:style w:type="character" w:styleId="NichtaufgelsteErwhnung">
    <w:name w:val="Unresolved Mention"/>
    <w:basedOn w:val="Absatz-Standardschriftart"/>
    <w:uiPriority w:val="99"/>
    <w:semiHidden/>
    <w:unhideWhenUsed/>
    <w:rsid w:val="00C824D9"/>
    <w:rPr>
      <w:color w:val="605E5C"/>
      <w:shd w:val="clear" w:color="auto" w:fill="E1DFDD"/>
    </w:rPr>
  </w:style>
  <w:style w:type="paragraph" w:styleId="Kopfzeile">
    <w:name w:val="header"/>
    <w:basedOn w:val="Standard"/>
    <w:link w:val="KopfzeileZchn"/>
    <w:uiPriority w:val="99"/>
    <w:unhideWhenUsed/>
    <w:rsid w:val="008C50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5049"/>
  </w:style>
  <w:style w:type="paragraph" w:styleId="Fuzeile">
    <w:name w:val="footer"/>
    <w:basedOn w:val="Standard"/>
    <w:link w:val="FuzeileZchn"/>
    <w:uiPriority w:val="99"/>
    <w:unhideWhenUsed/>
    <w:rsid w:val="008C50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5049"/>
  </w:style>
  <w:style w:type="character" w:styleId="Kommentarzeichen">
    <w:name w:val="annotation reference"/>
    <w:basedOn w:val="Absatz-Standardschriftart"/>
    <w:uiPriority w:val="99"/>
    <w:semiHidden/>
    <w:unhideWhenUsed/>
    <w:rsid w:val="004A63FF"/>
    <w:rPr>
      <w:sz w:val="16"/>
      <w:szCs w:val="16"/>
    </w:rPr>
  </w:style>
  <w:style w:type="paragraph" w:styleId="Kommentartext">
    <w:name w:val="annotation text"/>
    <w:basedOn w:val="Standard"/>
    <w:link w:val="KommentartextZchn"/>
    <w:uiPriority w:val="99"/>
    <w:unhideWhenUsed/>
    <w:rsid w:val="004A63FF"/>
    <w:pPr>
      <w:spacing w:line="240" w:lineRule="auto"/>
    </w:pPr>
    <w:rPr>
      <w:sz w:val="20"/>
      <w:szCs w:val="20"/>
    </w:rPr>
  </w:style>
  <w:style w:type="character" w:customStyle="1" w:styleId="KommentartextZchn">
    <w:name w:val="Kommentartext Zchn"/>
    <w:basedOn w:val="Absatz-Standardschriftart"/>
    <w:link w:val="Kommentartext"/>
    <w:uiPriority w:val="99"/>
    <w:rsid w:val="004A63FF"/>
    <w:rPr>
      <w:sz w:val="20"/>
      <w:szCs w:val="20"/>
    </w:rPr>
  </w:style>
  <w:style w:type="table" w:styleId="Tabellenraster">
    <w:name w:val="Table Grid"/>
    <w:basedOn w:val="NormaleTabelle"/>
    <w:uiPriority w:val="39"/>
    <w:rsid w:val="002D0B1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B257E6"/>
    <w:rPr>
      <w:b/>
      <w:bCs/>
    </w:rPr>
  </w:style>
  <w:style w:type="character" w:customStyle="1" w:styleId="KommentarthemaZchn">
    <w:name w:val="Kommentarthema Zchn"/>
    <w:basedOn w:val="KommentartextZchn"/>
    <w:link w:val="Kommentarthema"/>
    <w:uiPriority w:val="99"/>
    <w:semiHidden/>
    <w:rsid w:val="00B257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lidl.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E84C1-D721-4281-B95D-171722E566D3}">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831</Words>
  <Characters>5239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Artuković</dc:creator>
  <cp:keywords/>
  <dc:description/>
  <cp:lastModifiedBy>Aglika Dimov</cp:lastModifiedBy>
  <cp:revision>10</cp:revision>
  <dcterms:created xsi:type="dcterms:W3CDTF">2025-03-03T13:08:00Z</dcterms:created>
  <dcterms:modified xsi:type="dcterms:W3CDTF">2025-03-10T02:45:00Z</dcterms:modified>
</cp:coreProperties>
</file>