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EB72" w14:textId="77777777" w:rsidR="00F80DE4" w:rsidRPr="000728DD" w:rsidRDefault="00F80DE4" w:rsidP="00F80DE4">
      <w:pPr>
        <w:jc w:val="center"/>
        <w:rPr>
          <w:b/>
          <w:bCs/>
          <w:sz w:val="20"/>
          <w:szCs w:val="20"/>
          <w:lang w:val="en-US"/>
        </w:rPr>
      </w:pPr>
      <w:r w:rsidRPr="000728DD">
        <w:rPr>
          <w:b/>
          <w:bCs/>
          <w:sz w:val="20"/>
          <w:szCs w:val="20"/>
          <w:lang w:val="en-US"/>
        </w:rPr>
        <w:t>Privacy policy for participants and winners of the competition according to Art. 13 GDPR</w:t>
      </w:r>
    </w:p>
    <w:p w14:paraId="5CDD91D2" w14:textId="77777777" w:rsidR="00D910A2" w:rsidRPr="000728DD" w:rsidRDefault="00D910A2" w:rsidP="00F80547">
      <w:pPr>
        <w:jc w:val="both"/>
        <w:rPr>
          <w:sz w:val="20"/>
          <w:szCs w:val="20"/>
          <w:lang w:val="en-US"/>
        </w:rPr>
      </w:pPr>
    </w:p>
    <w:p w14:paraId="65A4C24B" w14:textId="3E46EEF0" w:rsidR="00C824D9" w:rsidRPr="000728DD" w:rsidRDefault="00D910A2" w:rsidP="00F80547">
      <w:pPr>
        <w:jc w:val="both"/>
        <w:rPr>
          <w:sz w:val="20"/>
          <w:szCs w:val="20"/>
          <w:u w:val="single"/>
          <w:lang w:val="en-US"/>
        </w:rPr>
      </w:pPr>
      <w:r w:rsidRPr="000728DD">
        <w:rPr>
          <w:sz w:val="20"/>
          <w:szCs w:val="20"/>
          <w:u w:val="single"/>
          <w:lang w:val="en-US"/>
        </w:rPr>
        <w:t xml:space="preserve">Purpose </w:t>
      </w:r>
      <w:r w:rsidR="00CD6F51" w:rsidRPr="000728DD">
        <w:rPr>
          <w:sz w:val="20"/>
          <w:szCs w:val="20"/>
          <w:u w:val="single"/>
          <w:lang w:val="en-US"/>
        </w:rPr>
        <w:t xml:space="preserve">and legal basis </w:t>
      </w:r>
      <w:r w:rsidRPr="000728DD">
        <w:rPr>
          <w:sz w:val="20"/>
          <w:szCs w:val="20"/>
          <w:u w:val="single"/>
          <w:lang w:val="en-US"/>
        </w:rPr>
        <w:t xml:space="preserve">of data processing: </w:t>
      </w:r>
    </w:p>
    <w:p w14:paraId="0DB09BC1" w14:textId="1C8A3C06" w:rsidR="00F80DE4" w:rsidRPr="000728DD" w:rsidRDefault="00F80DE4" w:rsidP="00F80DE4">
      <w:pPr>
        <w:rPr>
          <w:sz w:val="20"/>
          <w:szCs w:val="20"/>
          <w:lang w:val="en-US"/>
        </w:rPr>
      </w:pPr>
      <w:r w:rsidRPr="000728DD">
        <w:rPr>
          <w:sz w:val="20"/>
          <w:szCs w:val="20"/>
          <w:lang w:val="en-US"/>
        </w:rPr>
        <w:t>The personal data of the participants will be processed by us</w:t>
      </w:r>
      <w:r w:rsidR="00DD10F3">
        <w:rPr>
          <w:sz w:val="20"/>
          <w:szCs w:val="20"/>
          <w:lang w:val="en-US"/>
        </w:rPr>
        <w:t xml:space="preserve">, </w:t>
      </w:r>
      <w:r w:rsidR="00DD10F3" w:rsidRPr="00DD10F3">
        <w:rPr>
          <w:sz w:val="20"/>
          <w:szCs w:val="20"/>
          <w:lang w:val="en-US"/>
        </w:rPr>
        <w:t xml:space="preserve">Lidl </w:t>
      </w:r>
      <w:proofErr w:type="spellStart"/>
      <w:r w:rsidR="00DD10F3" w:rsidRPr="00DD10F3">
        <w:rPr>
          <w:sz w:val="20"/>
          <w:szCs w:val="20"/>
          <w:lang w:val="en-US"/>
        </w:rPr>
        <w:t>Dienstleistung</w:t>
      </w:r>
      <w:proofErr w:type="spellEnd"/>
      <w:r w:rsidR="00DD10F3" w:rsidRPr="00DD10F3">
        <w:rPr>
          <w:sz w:val="20"/>
          <w:szCs w:val="20"/>
          <w:lang w:val="en-US"/>
        </w:rPr>
        <w:t xml:space="preserve"> &amp; Co KG, </w:t>
      </w:r>
      <w:proofErr w:type="spellStart"/>
      <w:r w:rsidR="00DD10F3" w:rsidRPr="00DD10F3">
        <w:rPr>
          <w:sz w:val="20"/>
          <w:szCs w:val="20"/>
          <w:lang w:val="en-US"/>
        </w:rPr>
        <w:t>Bonfelder</w:t>
      </w:r>
      <w:proofErr w:type="spellEnd"/>
      <w:r w:rsidR="00DD10F3" w:rsidRPr="00DD10F3">
        <w:rPr>
          <w:sz w:val="20"/>
          <w:szCs w:val="20"/>
          <w:lang w:val="en-US"/>
        </w:rPr>
        <w:t xml:space="preserve"> Str. 2, 74206 Bad </w:t>
      </w:r>
      <w:proofErr w:type="spellStart"/>
      <w:r w:rsidR="00DD10F3" w:rsidRPr="00DD10F3">
        <w:rPr>
          <w:sz w:val="20"/>
          <w:szCs w:val="20"/>
          <w:lang w:val="en-US"/>
        </w:rPr>
        <w:t>Wimpfen</w:t>
      </w:r>
      <w:proofErr w:type="spellEnd"/>
      <w:r w:rsidR="00DD10F3">
        <w:rPr>
          <w:sz w:val="20"/>
          <w:szCs w:val="20"/>
          <w:lang w:val="en-US"/>
        </w:rPr>
        <w:t>,</w:t>
      </w:r>
      <w:r w:rsidRPr="000728DD">
        <w:rPr>
          <w:sz w:val="20"/>
          <w:szCs w:val="20"/>
          <w:lang w:val="en-US"/>
        </w:rPr>
        <w:t xml:space="preserve"> for the purpose of </w:t>
      </w:r>
      <w:proofErr w:type="spellStart"/>
      <w:r w:rsidRPr="000728DD">
        <w:rPr>
          <w:sz w:val="20"/>
          <w:szCs w:val="20"/>
          <w:lang w:val="en-US"/>
        </w:rPr>
        <w:t>organising</w:t>
      </w:r>
      <w:proofErr w:type="spellEnd"/>
      <w:r w:rsidRPr="000728DD">
        <w:rPr>
          <w:sz w:val="20"/>
          <w:szCs w:val="20"/>
          <w:lang w:val="en-US"/>
        </w:rPr>
        <w:t xml:space="preserve"> the cheese </w:t>
      </w:r>
      <w:r w:rsidR="009C131D">
        <w:rPr>
          <w:sz w:val="20"/>
          <w:szCs w:val="20"/>
          <w:lang w:val="en-US"/>
        </w:rPr>
        <w:t>alternative</w:t>
      </w:r>
      <w:r w:rsidR="0048484C">
        <w:rPr>
          <w:sz w:val="20"/>
          <w:szCs w:val="20"/>
          <w:lang w:val="en-US"/>
        </w:rPr>
        <w:t xml:space="preserve">s </w:t>
      </w:r>
      <w:r w:rsidRPr="000728DD">
        <w:rPr>
          <w:sz w:val="20"/>
          <w:szCs w:val="20"/>
          <w:lang w:val="en-US"/>
        </w:rPr>
        <w:t xml:space="preserve">competition. In particular, this includes your contact details, such as your full name, telephone number, email and postal address. They are required to contact the finalists and the winner. The processing of your data and the transfer of data to our cooperation partner ProVeg </w:t>
      </w:r>
      <w:proofErr w:type="spellStart"/>
      <w:r w:rsidRPr="000728DD">
        <w:rPr>
          <w:sz w:val="20"/>
          <w:szCs w:val="20"/>
          <w:lang w:val="en-US"/>
        </w:rPr>
        <w:t>e.V.</w:t>
      </w:r>
      <w:proofErr w:type="spellEnd"/>
      <w:r w:rsidRPr="000728DD">
        <w:rPr>
          <w:sz w:val="20"/>
          <w:szCs w:val="20"/>
          <w:lang w:val="en-US"/>
        </w:rPr>
        <w:t xml:space="preserve"> for the purpose of </w:t>
      </w:r>
      <w:proofErr w:type="spellStart"/>
      <w:r w:rsidRPr="000728DD">
        <w:rPr>
          <w:sz w:val="20"/>
          <w:szCs w:val="20"/>
          <w:lang w:val="en-US"/>
        </w:rPr>
        <w:t>organising</w:t>
      </w:r>
      <w:proofErr w:type="spellEnd"/>
      <w:r w:rsidRPr="000728DD">
        <w:rPr>
          <w:sz w:val="20"/>
          <w:szCs w:val="20"/>
          <w:lang w:val="en-US"/>
        </w:rPr>
        <w:t xml:space="preserve"> the competition is based on Art. 6 (1) b GDPR. There is also the possibility of including your data in our talent pool in order to contact you after the competition. The data is processed on the basis of consent in accordance with Art. 6 (1) a GDPR, in which separate information about the data processing is provided.</w:t>
      </w:r>
    </w:p>
    <w:p w14:paraId="30D4521E" w14:textId="77777777" w:rsidR="00F80DE4" w:rsidRPr="000728DD" w:rsidRDefault="00F80DE4" w:rsidP="00F80DE4">
      <w:pPr>
        <w:rPr>
          <w:sz w:val="20"/>
          <w:szCs w:val="20"/>
          <w:u w:val="single"/>
          <w:lang w:val="en-US"/>
        </w:rPr>
      </w:pPr>
      <w:r w:rsidRPr="000728DD">
        <w:rPr>
          <w:sz w:val="20"/>
          <w:szCs w:val="20"/>
          <w:u w:val="single"/>
          <w:lang w:val="en-US"/>
        </w:rPr>
        <w:t>Recipients of your data:</w:t>
      </w:r>
    </w:p>
    <w:p w14:paraId="5C5F2090" w14:textId="358964AA" w:rsidR="00F80DE4" w:rsidRPr="000728DD" w:rsidRDefault="00F80DE4" w:rsidP="00F80DE4">
      <w:pPr>
        <w:rPr>
          <w:sz w:val="20"/>
          <w:szCs w:val="20"/>
          <w:lang w:val="en-US"/>
        </w:rPr>
      </w:pPr>
      <w:r w:rsidRPr="000728DD">
        <w:rPr>
          <w:sz w:val="20"/>
          <w:szCs w:val="20"/>
          <w:lang w:val="en-US"/>
        </w:rPr>
        <w:t>We</w:t>
      </w:r>
      <w:r w:rsidR="00DD10F3">
        <w:rPr>
          <w:sz w:val="20"/>
          <w:szCs w:val="20"/>
          <w:lang w:val="en-US"/>
        </w:rPr>
        <w:t xml:space="preserve"> </w:t>
      </w:r>
      <w:r w:rsidRPr="000728DD">
        <w:rPr>
          <w:sz w:val="20"/>
          <w:szCs w:val="20"/>
          <w:lang w:val="en-US"/>
        </w:rPr>
        <w:t xml:space="preserve">work together with our cooperation partner ProVeg </w:t>
      </w:r>
      <w:proofErr w:type="spellStart"/>
      <w:r w:rsidRPr="000728DD">
        <w:rPr>
          <w:sz w:val="20"/>
          <w:szCs w:val="20"/>
          <w:lang w:val="en-US"/>
        </w:rPr>
        <w:t>e.V.</w:t>
      </w:r>
      <w:proofErr w:type="spellEnd"/>
      <w:r w:rsidRPr="000728DD">
        <w:rPr>
          <w:sz w:val="20"/>
          <w:szCs w:val="20"/>
          <w:lang w:val="en-US"/>
        </w:rPr>
        <w:t xml:space="preserve">, </w:t>
      </w:r>
      <w:proofErr w:type="spellStart"/>
      <w:r w:rsidRPr="000728DD">
        <w:rPr>
          <w:sz w:val="20"/>
          <w:szCs w:val="20"/>
          <w:lang w:val="en-US"/>
        </w:rPr>
        <w:t>Genthiner</w:t>
      </w:r>
      <w:proofErr w:type="spellEnd"/>
      <w:r w:rsidRPr="000728DD">
        <w:rPr>
          <w:sz w:val="20"/>
          <w:szCs w:val="20"/>
          <w:lang w:val="en-US"/>
        </w:rPr>
        <w:t xml:space="preserve"> </w:t>
      </w:r>
      <w:proofErr w:type="spellStart"/>
      <w:r w:rsidRPr="000728DD">
        <w:rPr>
          <w:sz w:val="20"/>
          <w:szCs w:val="20"/>
          <w:lang w:val="en-US"/>
        </w:rPr>
        <w:t>Straße</w:t>
      </w:r>
      <w:proofErr w:type="spellEnd"/>
      <w:r w:rsidRPr="000728DD">
        <w:rPr>
          <w:sz w:val="20"/>
          <w:szCs w:val="20"/>
          <w:lang w:val="en-US"/>
        </w:rPr>
        <w:t xml:space="preserve"> 48, 10785 Berlin, Germany, as part of the competition. In addition, Lidl Stiftung &amp; Co. KG, </w:t>
      </w:r>
      <w:proofErr w:type="spellStart"/>
      <w:r w:rsidRPr="000728DD">
        <w:rPr>
          <w:sz w:val="20"/>
          <w:szCs w:val="20"/>
          <w:lang w:val="en-US"/>
        </w:rPr>
        <w:t>Stiftsbergstraße</w:t>
      </w:r>
      <w:proofErr w:type="spellEnd"/>
      <w:r w:rsidRPr="000728DD">
        <w:rPr>
          <w:sz w:val="20"/>
          <w:szCs w:val="20"/>
          <w:lang w:val="en-US"/>
        </w:rPr>
        <w:t xml:space="preserve"> 1, 74172 Neckarsulm, Germany, supports us in the implementation of the competition and receives access to your data for the purpose of process and workflow </w:t>
      </w:r>
      <w:proofErr w:type="spellStart"/>
      <w:r w:rsidRPr="000728DD">
        <w:rPr>
          <w:sz w:val="20"/>
          <w:szCs w:val="20"/>
          <w:lang w:val="en-US"/>
        </w:rPr>
        <w:t>optimisation</w:t>
      </w:r>
      <w:proofErr w:type="spellEnd"/>
      <w:r w:rsidRPr="000728DD">
        <w:rPr>
          <w:sz w:val="20"/>
          <w:szCs w:val="20"/>
          <w:lang w:val="en-US"/>
        </w:rPr>
        <w:t xml:space="preserve">. The legal basis for this is Art. 6 (1) f GDPR. We have a legitimate interest in ensuring the </w:t>
      </w:r>
      <w:proofErr w:type="spellStart"/>
      <w:r w:rsidRPr="000728DD">
        <w:rPr>
          <w:sz w:val="20"/>
          <w:szCs w:val="20"/>
          <w:lang w:val="en-US"/>
        </w:rPr>
        <w:t>organisation</w:t>
      </w:r>
      <w:proofErr w:type="spellEnd"/>
      <w:r w:rsidRPr="000728DD">
        <w:rPr>
          <w:sz w:val="20"/>
          <w:szCs w:val="20"/>
          <w:lang w:val="en-US"/>
        </w:rPr>
        <w:t xml:space="preserve"> of the competition. </w:t>
      </w:r>
    </w:p>
    <w:p w14:paraId="48712215" w14:textId="77777777" w:rsidR="00F80DE4" w:rsidRPr="000728DD" w:rsidRDefault="00F80DE4" w:rsidP="00F80DE4">
      <w:pPr>
        <w:rPr>
          <w:sz w:val="20"/>
          <w:szCs w:val="20"/>
          <w:u w:val="single"/>
          <w:lang w:val="en-US"/>
        </w:rPr>
      </w:pPr>
      <w:r w:rsidRPr="000728DD">
        <w:rPr>
          <w:sz w:val="20"/>
          <w:szCs w:val="20"/>
          <w:u w:val="single"/>
          <w:lang w:val="en-US"/>
        </w:rPr>
        <w:t xml:space="preserve">Storage period/ criteria for determining the storage period: </w:t>
      </w:r>
    </w:p>
    <w:p w14:paraId="37355D71" w14:textId="77777777" w:rsidR="00F80DE4" w:rsidRPr="000728DD" w:rsidRDefault="00F80DE4" w:rsidP="00F80DE4">
      <w:pPr>
        <w:rPr>
          <w:sz w:val="20"/>
          <w:szCs w:val="20"/>
          <w:lang w:val="en-US"/>
        </w:rPr>
      </w:pPr>
      <w:r w:rsidRPr="000728DD">
        <w:rPr>
          <w:sz w:val="20"/>
          <w:szCs w:val="20"/>
          <w:lang w:val="en-US"/>
        </w:rPr>
        <w:t>All participant data collected as part of the competition will be deleted after two years at the latest.</w:t>
      </w:r>
    </w:p>
    <w:p w14:paraId="20AC08AE" w14:textId="77777777" w:rsidR="002D0B11" w:rsidRPr="000728DD" w:rsidRDefault="002D0B11" w:rsidP="00F80547">
      <w:pPr>
        <w:jc w:val="both"/>
        <w:rPr>
          <w:sz w:val="20"/>
          <w:szCs w:val="20"/>
          <w:u w:val="single"/>
          <w:lang w:val="en-US"/>
        </w:rPr>
      </w:pPr>
      <w:r w:rsidRPr="000728DD">
        <w:rPr>
          <w:sz w:val="20"/>
          <w:szCs w:val="20"/>
          <w:u w:val="single"/>
          <w:lang w:val="en-US"/>
        </w:rPr>
        <w:t>Controller and further information on Art. 26 GDPR:</w:t>
      </w:r>
    </w:p>
    <w:p w14:paraId="0F61AE08" w14:textId="5D39FBC6" w:rsidR="002D0B11" w:rsidRPr="000728DD" w:rsidRDefault="002D0B11" w:rsidP="00F80547">
      <w:pPr>
        <w:jc w:val="both"/>
        <w:rPr>
          <w:sz w:val="20"/>
          <w:szCs w:val="20"/>
          <w:lang w:val="en-US"/>
        </w:rPr>
      </w:pPr>
      <w:r w:rsidRPr="000728DD">
        <w:rPr>
          <w:sz w:val="20"/>
          <w:szCs w:val="20"/>
          <w:lang w:val="en-US"/>
        </w:rPr>
        <w:t xml:space="preserve">As Lidl </w:t>
      </w:r>
      <w:proofErr w:type="spellStart"/>
      <w:r w:rsidRPr="000728DD">
        <w:rPr>
          <w:sz w:val="20"/>
          <w:szCs w:val="20"/>
          <w:lang w:val="en-US"/>
        </w:rPr>
        <w:t>Dienstleistung</w:t>
      </w:r>
      <w:proofErr w:type="spellEnd"/>
      <w:r w:rsidRPr="000728DD">
        <w:rPr>
          <w:sz w:val="20"/>
          <w:szCs w:val="20"/>
          <w:lang w:val="en-US"/>
        </w:rPr>
        <w:t xml:space="preserve"> &amp; Co KG, </w:t>
      </w:r>
      <w:proofErr w:type="spellStart"/>
      <w:r w:rsidRPr="000728DD">
        <w:rPr>
          <w:sz w:val="20"/>
          <w:szCs w:val="20"/>
          <w:lang w:val="en-US"/>
        </w:rPr>
        <w:t>Bonfelder</w:t>
      </w:r>
      <w:proofErr w:type="spellEnd"/>
      <w:r w:rsidRPr="000728DD">
        <w:rPr>
          <w:sz w:val="20"/>
          <w:szCs w:val="20"/>
          <w:lang w:val="en-US"/>
        </w:rPr>
        <w:t xml:space="preserve"> Str. 2, 74206 Bad </w:t>
      </w:r>
      <w:proofErr w:type="spellStart"/>
      <w:r w:rsidRPr="000728DD">
        <w:rPr>
          <w:sz w:val="20"/>
          <w:szCs w:val="20"/>
          <w:lang w:val="en-US"/>
        </w:rPr>
        <w:t>Wimpfen</w:t>
      </w:r>
      <w:proofErr w:type="spellEnd"/>
      <w:r w:rsidRPr="000728DD">
        <w:rPr>
          <w:sz w:val="20"/>
          <w:szCs w:val="20"/>
          <w:lang w:val="en-US"/>
        </w:rPr>
        <w:t xml:space="preserve"> and ProVeg </w:t>
      </w:r>
      <w:proofErr w:type="spellStart"/>
      <w:r w:rsidRPr="000728DD">
        <w:rPr>
          <w:sz w:val="20"/>
          <w:szCs w:val="20"/>
          <w:lang w:val="en-US"/>
        </w:rPr>
        <w:t>e.V.</w:t>
      </w:r>
      <w:proofErr w:type="spellEnd"/>
      <w:r w:rsidRPr="000728DD">
        <w:rPr>
          <w:sz w:val="20"/>
          <w:szCs w:val="20"/>
          <w:lang w:val="en-US"/>
        </w:rPr>
        <w:t xml:space="preserve">, </w:t>
      </w:r>
      <w:proofErr w:type="spellStart"/>
      <w:r w:rsidRPr="000728DD">
        <w:rPr>
          <w:sz w:val="20"/>
          <w:szCs w:val="20"/>
          <w:lang w:val="en-US"/>
        </w:rPr>
        <w:t>Genthiner</w:t>
      </w:r>
      <w:proofErr w:type="spellEnd"/>
      <w:r w:rsidRPr="000728DD">
        <w:rPr>
          <w:sz w:val="20"/>
          <w:szCs w:val="20"/>
          <w:lang w:val="en-US"/>
        </w:rPr>
        <w:t xml:space="preserve"> </w:t>
      </w:r>
      <w:proofErr w:type="spellStart"/>
      <w:r w:rsidRPr="000728DD">
        <w:rPr>
          <w:sz w:val="20"/>
          <w:szCs w:val="20"/>
          <w:lang w:val="en-US"/>
        </w:rPr>
        <w:t>Straße</w:t>
      </w:r>
      <w:proofErr w:type="spellEnd"/>
      <w:r w:rsidRPr="000728DD">
        <w:rPr>
          <w:sz w:val="20"/>
          <w:szCs w:val="20"/>
          <w:lang w:val="en-US"/>
        </w:rPr>
        <w:t xml:space="preserve"> 48, 10785 Berlin are each responsible for the process and carry it out jointly, they are </w:t>
      </w:r>
      <w:r w:rsidR="00F80DE4" w:rsidRPr="000728DD">
        <w:rPr>
          <w:sz w:val="20"/>
          <w:szCs w:val="20"/>
          <w:lang w:val="en-US"/>
        </w:rPr>
        <w:t>joint controllers</w:t>
      </w:r>
      <w:r w:rsidRPr="000728DD">
        <w:rPr>
          <w:sz w:val="20"/>
          <w:szCs w:val="20"/>
          <w:lang w:val="en-US"/>
        </w:rPr>
        <w:t xml:space="preserve"> for the protection of your personal data (Art. 26 GDPR). </w:t>
      </w:r>
    </w:p>
    <w:p w14:paraId="1F1246D9" w14:textId="4A43F9A3" w:rsidR="002D0B11" w:rsidRPr="000728DD" w:rsidRDefault="002D0B11" w:rsidP="00F80547">
      <w:pPr>
        <w:jc w:val="both"/>
        <w:rPr>
          <w:sz w:val="20"/>
          <w:szCs w:val="20"/>
          <w:lang w:val="en-US"/>
        </w:rPr>
      </w:pPr>
      <w:r w:rsidRPr="000728DD">
        <w:rPr>
          <w:sz w:val="20"/>
          <w:szCs w:val="20"/>
          <w:lang w:val="en-US"/>
        </w:rPr>
        <w:t>As part of their joint responsibility, the above-mentioned companies have agreed which of them fulfils which obligations under the GDPR. This applies in particular to the fulfilment of the rights of data subjects and the information obligations pursuant to Art. 13 and 14 GDPR.</w:t>
      </w:r>
    </w:p>
    <w:tbl>
      <w:tblPr>
        <w:tblStyle w:val="Tabellenraster"/>
        <w:tblW w:w="0" w:type="auto"/>
        <w:tblLook w:val="04A0" w:firstRow="1" w:lastRow="0" w:firstColumn="1" w:lastColumn="0" w:noHBand="0" w:noVBand="1"/>
      </w:tblPr>
      <w:tblGrid>
        <w:gridCol w:w="4390"/>
        <w:gridCol w:w="283"/>
        <w:gridCol w:w="4389"/>
      </w:tblGrid>
      <w:tr w:rsidR="002D0B11" w:rsidRPr="00F80547" w14:paraId="3F3AEA42" w14:textId="77777777" w:rsidTr="00564E5C">
        <w:tc>
          <w:tcPr>
            <w:tcW w:w="4390" w:type="dxa"/>
          </w:tcPr>
          <w:p w14:paraId="1B34AEDA" w14:textId="77777777" w:rsidR="002D0B11" w:rsidRPr="000728DD" w:rsidRDefault="002D0B11" w:rsidP="00F80547">
            <w:pPr>
              <w:jc w:val="both"/>
              <w:rPr>
                <w:b/>
                <w:bCs/>
                <w:sz w:val="20"/>
                <w:szCs w:val="20"/>
                <w:lang w:val="en-US"/>
              </w:rPr>
            </w:pPr>
            <w:r w:rsidRPr="000728DD">
              <w:rPr>
                <w:rFonts w:ascii="Lidl Font" w:hAnsi="Lidl Font"/>
                <w:b/>
                <w:bCs/>
                <w:sz w:val="20"/>
                <w:szCs w:val="20"/>
                <w:lang w:val="en-US"/>
              </w:rPr>
              <w:t>Process section of data processing/obligation</w:t>
            </w:r>
          </w:p>
        </w:tc>
        <w:tc>
          <w:tcPr>
            <w:tcW w:w="283" w:type="dxa"/>
          </w:tcPr>
          <w:p w14:paraId="4F24A7A1" w14:textId="77777777" w:rsidR="002D0B11" w:rsidRPr="000728DD" w:rsidRDefault="002D0B11" w:rsidP="00F80547">
            <w:pPr>
              <w:jc w:val="both"/>
              <w:rPr>
                <w:b/>
                <w:bCs/>
                <w:sz w:val="20"/>
                <w:szCs w:val="20"/>
                <w:lang w:val="en-US"/>
              </w:rPr>
            </w:pPr>
          </w:p>
        </w:tc>
        <w:tc>
          <w:tcPr>
            <w:tcW w:w="4389" w:type="dxa"/>
          </w:tcPr>
          <w:p w14:paraId="4C3F9B70" w14:textId="77777777" w:rsidR="002D0B11" w:rsidRPr="00F80547" w:rsidRDefault="002D0B11" w:rsidP="00F80547">
            <w:pPr>
              <w:jc w:val="both"/>
              <w:rPr>
                <w:b/>
                <w:bCs/>
                <w:sz w:val="20"/>
                <w:szCs w:val="20"/>
              </w:rPr>
            </w:pPr>
            <w:proofErr w:type="spellStart"/>
            <w:r w:rsidRPr="00F80547">
              <w:rPr>
                <w:b/>
                <w:bCs/>
                <w:sz w:val="20"/>
                <w:szCs w:val="20"/>
              </w:rPr>
              <w:t>Fulfilment</w:t>
            </w:r>
            <w:proofErr w:type="spellEnd"/>
            <w:r w:rsidRPr="00F80547">
              <w:rPr>
                <w:b/>
                <w:bCs/>
                <w:sz w:val="20"/>
                <w:szCs w:val="20"/>
              </w:rPr>
              <w:t xml:space="preserve"> </w:t>
            </w:r>
            <w:proofErr w:type="spellStart"/>
            <w:r w:rsidRPr="00F80547">
              <w:rPr>
                <w:b/>
                <w:bCs/>
                <w:sz w:val="20"/>
                <w:szCs w:val="20"/>
              </w:rPr>
              <w:t>of</w:t>
            </w:r>
            <w:proofErr w:type="spellEnd"/>
            <w:r w:rsidRPr="00F80547">
              <w:rPr>
                <w:b/>
                <w:bCs/>
                <w:sz w:val="20"/>
                <w:szCs w:val="20"/>
              </w:rPr>
              <w:t xml:space="preserve"> </w:t>
            </w:r>
            <w:proofErr w:type="spellStart"/>
            <w:r w:rsidRPr="00F80547">
              <w:rPr>
                <w:b/>
                <w:bCs/>
                <w:sz w:val="20"/>
                <w:szCs w:val="20"/>
              </w:rPr>
              <w:t>obligations</w:t>
            </w:r>
            <w:proofErr w:type="spellEnd"/>
            <w:r w:rsidRPr="00F80547">
              <w:rPr>
                <w:b/>
                <w:bCs/>
                <w:sz w:val="20"/>
                <w:szCs w:val="20"/>
              </w:rPr>
              <w:t xml:space="preserve"> </w:t>
            </w:r>
            <w:proofErr w:type="spellStart"/>
            <w:r w:rsidRPr="00F80547">
              <w:rPr>
                <w:b/>
                <w:bCs/>
                <w:sz w:val="20"/>
                <w:szCs w:val="20"/>
              </w:rPr>
              <w:t>by</w:t>
            </w:r>
            <w:proofErr w:type="spellEnd"/>
          </w:p>
        </w:tc>
      </w:tr>
      <w:tr w:rsidR="002D0B11" w:rsidRPr="00F80547" w14:paraId="100F3420" w14:textId="77777777" w:rsidTr="00564E5C">
        <w:tc>
          <w:tcPr>
            <w:tcW w:w="4390" w:type="dxa"/>
          </w:tcPr>
          <w:p w14:paraId="5239C642" w14:textId="77777777" w:rsidR="002D0B11" w:rsidRPr="000728DD" w:rsidRDefault="002D0B11" w:rsidP="00F80547">
            <w:pPr>
              <w:jc w:val="both"/>
              <w:rPr>
                <w:sz w:val="20"/>
                <w:szCs w:val="20"/>
                <w:lang w:val="en-US"/>
              </w:rPr>
            </w:pPr>
            <w:r w:rsidRPr="000728DD">
              <w:rPr>
                <w:sz w:val="20"/>
                <w:szCs w:val="20"/>
                <w:lang w:val="en-US"/>
              </w:rPr>
              <w:t>Information obligations pursuant to Art. 13, 14 GDPR</w:t>
            </w:r>
          </w:p>
        </w:tc>
        <w:tc>
          <w:tcPr>
            <w:tcW w:w="283" w:type="dxa"/>
          </w:tcPr>
          <w:p w14:paraId="0D77BB7B" w14:textId="77777777" w:rsidR="002D0B11" w:rsidRPr="000728DD" w:rsidRDefault="002D0B11" w:rsidP="00F80547">
            <w:pPr>
              <w:jc w:val="both"/>
              <w:rPr>
                <w:sz w:val="20"/>
                <w:szCs w:val="20"/>
                <w:lang w:val="en-US"/>
              </w:rPr>
            </w:pPr>
          </w:p>
        </w:tc>
        <w:tc>
          <w:tcPr>
            <w:tcW w:w="4389" w:type="dxa"/>
          </w:tcPr>
          <w:p w14:paraId="45600792" w14:textId="12DC7F1F" w:rsidR="002D0B11" w:rsidRPr="00F80547" w:rsidRDefault="00F80547" w:rsidP="00F80547">
            <w:pPr>
              <w:jc w:val="both"/>
              <w:rPr>
                <w:sz w:val="20"/>
                <w:szCs w:val="20"/>
              </w:rPr>
            </w:pPr>
            <w:r w:rsidRPr="00F80547">
              <w:rPr>
                <w:sz w:val="20"/>
                <w:szCs w:val="20"/>
              </w:rPr>
              <w:t>Lidl Dienstleistung &amp; Co</w:t>
            </w:r>
            <w:r w:rsidR="00724DA5">
              <w:rPr>
                <w:sz w:val="20"/>
                <w:szCs w:val="20"/>
              </w:rPr>
              <w:t>.</w:t>
            </w:r>
            <w:r w:rsidRPr="00F80547">
              <w:rPr>
                <w:sz w:val="20"/>
                <w:szCs w:val="20"/>
              </w:rPr>
              <w:t xml:space="preserve"> KG</w:t>
            </w:r>
          </w:p>
        </w:tc>
      </w:tr>
      <w:tr w:rsidR="002D0B11" w:rsidRPr="00F80547" w14:paraId="03A27FF1" w14:textId="77777777" w:rsidTr="00564E5C">
        <w:tc>
          <w:tcPr>
            <w:tcW w:w="4390" w:type="dxa"/>
          </w:tcPr>
          <w:p w14:paraId="324F5910" w14:textId="7F52F281" w:rsidR="002D0B11" w:rsidRPr="00F80547" w:rsidRDefault="00172FF6" w:rsidP="00F80547">
            <w:pPr>
              <w:jc w:val="both"/>
              <w:rPr>
                <w:sz w:val="20"/>
                <w:szCs w:val="20"/>
              </w:rPr>
            </w:pPr>
            <w:r>
              <w:rPr>
                <w:sz w:val="20"/>
                <w:szCs w:val="20"/>
              </w:rPr>
              <w:t>Collection</w:t>
            </w:r>
          </w:p>
        </w:tc>
        <w:tc>
          <w:tcPr>
            <w:tcW w:w="283" w:type="dxa"/>
          </w:tcPr>
          <w:p w14:paraId="29187F73" w14:textId="77777777" w:rsidR="002D0B11" w:rsidRPr="00F80547" w:rsidRDefault="002D0B11" w:rsidP="00F80547">
            <w:pPr>
              <w:jc w:val="both"/>
              <w:rPr>
                <w:sz w:val="20"/>
                <w:szCs w:val="20"/>
              </w:rPr>
            </w:pPr>
          </w:p>
        </w:tc>
        <w:tc>
          <w:tcPr>
            <w:tcW w:w="4389" w:type="dxa"/>
          </w:tcPr>
          <w:p w14:paraId="2BDE20F1" w14:textId="190D3BDA" w:rsidR="002D0B11" w:rsidRPr="00F80547" w:rsidRDefault="008D18B4" w:rsidP="00F80547">
            <w:pPr>
              <w:jc w:val="both"/>
              <w:rPr>
                <w:sz w:val="20"/>
                <w:szCs w:val="20"/>
              </w:rPr>
            </w:pPr>
            <w:r>
              <w:rPr>
                <w:sz w:val="20"/>
                <w:szCs w:val="20"/>
              </w:rPr>
              <w:t xml:space="preserve">Both </w:t>
            </w:r>
            <w:proofErr w:type="spellStart"/>
            <w:r>
              <w:rPr>
                <w:sz w:val="20"/>
                <w:szCs w:val="20"/>
              </w:rPr>
              <w:t>companies</w:t>
            </w:r>
            <w:proofErr w:type="spellEnd"/>
          </w:p>
        </w:tc>
      </w:tr>
      <w:tr w:rsidR="002D0B11" w:rsidRPr="00F80547" w14:paraId="66D3D0D7" w14:textId="77777777" w:rsidTr="00564E5C">
        <w:tc>
          <w:tcPr>
            <w:tcW w:w="4390" w:type="dxa"/>
          </w:tcPr>
          <w:p w14:paraId="0C12F17C" w14:textId="77777777" w:rsidR="002D0B11" w:rsidRPr="00F80547" w:rsidRDefault="002D0B11" w:rsidP="00F80547">
            <w:pPr>
              <w:jc w:val="both"/>
              <w:rPr>
                <w:sz w:val="20"/>
                <w:szCs w:val="20"/>
              </w:rPr>
            </w:pPr>
            <w:r w:rsidRPr="00F80547">
              <w:rPr>
                <w:sz w:val="20"/>
                <w:szCs w:val="20"/>
              </w:rPr>
              <w:t>Storage</w:t>
            </w:r>
          </w:p>
        </w:tc>
        <w:tc>
          <w:tcPr>
            <w:tcW w:w="283" w:type="dxa"/>
          </w:tcPr>
          <w:p w14:paraId="4DC6C69D" w14:textId="77777777" w:rsidR="002D0B11" w:rsidRPr="00F80547" w:rsidRDefault="002D0B11" w:rsidP="00F80547">
            <w:pPr>
              <w:jc w:val="both"/>
              <w:rPr>
                <w:sz w:val="20"/>
                <w:szCs w:val="20"/>
              </w:rPr>
            </w:pPr>
          </w:p>
        </w:tc>
        <w:tc>
          <w:tcPr>
            <w:tcW w:w="4389" w:type="dxa"/>
          </w:tcPr>
          <w:p w14:paraId="5DBE4116" w14:textId="011A07F9" w:rsidR="002D0B11" w:rsidRPr="00F80547" w:rsidRDefault="00F80547" w:rsidP="00F80547">
            <w:pPr>
              <w:tabs>
                <w:tab w:val="left" w:pos="1453"/>
              </w:tabs>
              <w:jc w:val="both"/>
              <w:rPr>
                <w:sz w:val="20"/>
                <w:szCs w:val="20"/>
              </w:rPr>
            </w:pPr>
            <w:r w:rsidRPr="00F80547">
              <w:rPr>
                <w:sz w:val="20"/>
                <w:szCs w:val="20"/>
              </w:rPr>
              <w:t>Both companies</w:t>
            </w:r>
          </w:p>
        </w:tc>
      </w:tr>
      <w:tr w:rsidR="002D0B11" w:rsidRPr="00F80547" w14:paraId="5B3763AB" w14:textId="77777777" w:rsidTr="00564E5C">
        <w:tc>
          <w:tcPr>
            <w:tcW w:w="4390" w:type="dxa"/>
          </w:tcPr>
          <w:p w14:paraId="66FFBEDD" w14:textId="77777777" w:rsidR="002D0B11" w:rsidRPr="00F80547" w:rsidRDefault="002D0B11" w:rsidP="00F80547">
            <w:pPr>
              <w:jc w:val="both"/>
              <w:rPr>
                <w:sz w:val="20"/>
                <w:szCs w:val="20"/>
              </w:rPr>
            </w:pPr>
            <w:r w:rsidRPr="00F80547">
              <w:rPr>
                <w:sz w:val="20"/>
                <w:szCs w:val="20"/>
              </w:rPr>
              <w:t>Transmission</w:t>
            </w:r>
          </w:p>
        </w:tc>
        <w:tc>
          <w:tcPr>
            <w:tcW w:w="283" w:type="dxa"/>
          </w:tcPr>
          <w:p w14:paraId="7C4A20AA" w14:textId="77777777" w:rsidR="002D0B11" w:rsidRPr="00F80547" w:rsidRDefault="002D0B11" w:rsidP="00F80547">
            <w:pPr>
              <w:jc w:val="both"/>
              <w:rPr>
                <w:sz w:val="20"/>
                <w:szCs w:val="20"/>
              </w:rPr>
            </w:pPr>
          </w:p>
        </w:tc>
        <w:tc>
          <w:tcPr>
            <w:tcW w:w="4389" w:type="dxa"/>
          </w:tcPr>
          <w:p w14:paraId="42D407AE" w14:textId="779E2D0B" w:rsidR="002D0B11" w:rsidRPr="00F80547" w:rsidRDefault="000728DD" w:rsidP="00F80547">
            <w:pPr>
              <w:jc w:val="both"/>
              <w:rPr>
                <w:sz w:val="20"/>
                <w:szCs w:val="20"/>
              </w:rPr>
            </w:pPr>
            <w:r>
              <w:rPr>
                <w:sz w:val="20"/>
                <w:szCs w:val="20"/>
              </w:rPr>
              <w:t>Both companies</w:t>
            </w:r>
          </w:p>
        </w:tc>
      </w:tr>
      <w:tr w:rsidR="002D0B11" w:rsidRPr="00F80547" w14:paraId="1F2897D1" w14:textId="77777777" w:rsidTr="00564E5C">
        <w:tc>
          <w:tcPr>
            <w:tcW w:w="4390" w:type="dxa"/>
          </w:tcPr>
          <w:p w14:paraId="76F77F91" w14:textId="79352B05" w:rsidR="002D0B11" w:rsidRPr="00F80547" w:rsidRDefault="002D0B11" w:rsidP="00F80547">
            <w:pPr>
              <w:jc w:val="both"/>
              <w:rPr>
                <w:sz w:val="20"/>
                <w:szCs w:val="20"/>
              </w:rPr>
            </w:pPr>
            <w:proofErr w:type="spellStart"/>
            <w:r w:rsidRPr="00F80547">
              <w:rPr>
                <w:sz w:val="20"/>
                <w:szCs w:val="20"/>
              </w:rPr>
              <w:t>U</w:t>
            </w:r>
            <w:r w:rsidR="0091487F">
              <w:rPr>
                <w:sz w:val="20"/>
                <w:szCs w:val="20"/>
              </w:rPr>
              <w:t>sage</w:t>
            </w:r>
            <w:proofErr w:type="spellEnd"/>
          </w:p>
        </w:tc>
        <w:tc>
          <w:tcPr>
            <w:tcW w:w="283" w:type="dxa"/>
          </w:tcPr>
          <w:p w14:paraId="0FE5E5D3" w14:textId="77777777" w:rsidR="002D0B11" w:rsidRPr="00F80547" w:rsidRDefault="002D0B11" w:rsidP="00F80547">
            <w:pPr>
              <w:jc w:val="both"/>
              <w:rPr>
                <w:sz w:val="20"/>
                <w:szCs w:val="20"/>
              </w:rPr>
            </w:pPr>
          </w:p>
        </w:tc>
        <w:tc>
          <w:tcPr>
            <w:tcW w:w="4389" w:type="dxa"/>
          </w:tcPr>
          <w:p w14:paraId="01AE84C8" w14:textId="0B28A52E" w:rsidR="002D0B11" w:rsidRPr="00F80547" w:rsidRDefault="00F80547" w:rsidP="00F80547">
            <w:pPr>
              <w:jc w:val="both"/>
              <w:rPr>
                <w:sz w:val="20"/>
                <w:szCs w:val="20"/>
              </w:rPr>
            </w:pPr>
            <w:r w:rsidRPr="00F80547">
              <w:rPr>
                <w:sz w:val="20"/>
                <w:szCs w:val="20"/>
              </w:rPr>
              <w:t>Both companies</w:t>
            </w:r>
          </w:p>
        </w:tc>
      </w:tr>
      <w:tr w:rsidR="002D0B11" w:rsidRPr="00F80547" w14:paraId="0CE332CE" w14:textId="77777777" w:rsidTr="00564E5C">
        <w:tc>
          <w:tcPr>
            <w:tcW w:w="4390" w:type="dxa"/>
          </w:tcPr>
          <w:p w14:paraId="7354F861" w14:textId="442FE200" w:rsidR="002D0B11" w:rsidRPr="00F80547" w:rsidRDefault="002D0B11" w:rsidP="00F80547">
            <w:pPr>
              <w:jc w:val="both"/>
              <w:rPr>
                <w:sz w:val="20"/>
                <w:szCs w:val="20"/>
              </w:rPr>
            </w:pPr>
            <w:r w:rsidRPr="00F80547">
              <w:rPr>
                <w:sz w:val="20"/>
                <w:szCs w:val="20"/>
              </w:rPr>
              <w:t>A</w:t>
            </w:r>
            <w:r w:rsidR="0091487F">
              <w:rPr>
                <w:sz w:val="20"/>
                <w:szCs w:val="20"/>
              </w:rPr>
              <w:t>lteration</w:t>
            </w:r>
          </w:p>
        </w:tc>
        <w:tc>
          <w:tcPr>
            <w:tcW w:w="283" w:type="dxa"/>
          </w:tcPr>
          <w:p w14:paraId="1DC98EB6" w14:textId="77777777" w:rsidR="002D0B11" w:rsidRPr="00F80547" w:rsidRDefault="002D0B11" w:rsidP="00F80547">
            <w:pPr>
              <w:jc w:val="both"/>
              <w:rPr>
                <w:sz w:val="20"/>
                <w:szCs w:val="20"/>
              </w:rPr>
            </w:pPr>
          </w:p>
        </w:tc>
        <w:tc>
          <w:tcPr>
            <w:tcW w:w="4389" w:type="dxa"/>
          </w:tcPr>
          <w:p w14:paraId="58749E21" w14:textId="3A7583FE" w:rsidR="002D0B11" w:rsidRPr="00F80547" w:rsidRDefault="00F80547" w:rsidP="00F80547">
            <w:pPr>
              <w:jc w:val="both"/>
              <w:rPr>
                <w:sz w:val="20"/>
                <w:szCs w:val="20"/>
              </w:rPr>
            </w:pPr>
            <w:r w:rsidRPr="00F80547">
              <w:rPr>
                <w:sz w:val="20"/>
                <w:szCs w:val="20"/>
              </w:rPr>
              <w:t>Both companies</w:t>
            </w:r>
          </w:p>
        </w:tc>
      </w:tr>
      <w:tr w:rsidR="002D0B11" w:rsidRPr="00F80547" w14:paraId="69874F93" w14:textId="77777777" w:rsidTr="00564E5C">
        <w:tc>
          <w:tcPr>
            <w:tcW w:w="4390" w:type="dxa"/>
          </w:tcPr>
          <w:p w14:paraId="0320C203" w14:textId="078F87BE" w:rsidR="002D0B11" w:rsidRPr="00F80547" w:rsidRDefault="003B08CF" w:rsidP="00F80547">
            <w:pPr>
              <w:jc w:val="both"/>
              <w:rPr>
                <w:sz w:val="20"/>
                <w:szCs w:val="20"/>
              </w:rPr>
            </w:pPr>
            <w:proofErr w:type="spellStart"/>
            <w:r>
              <w:rPr>
                <w:sz w:val="20"/>
                <w:szCs w:val="20"/>
              </w:rPr>
              <w:t>Restriction</w:t>
            </w:r>
            <w:proofErr w:type="spellEnd"/>
          </w:p>
        </w:tc>
        <w:tc>
          <w:tcPr>
            <w:tcW w:w="283" w:type="dxa"/>
          </w:tcPr>
          <w:p w14:paraId="1ABF90E8" w14:textId="77777777" w:rsidR="002D0B11" w:rsidRPr="00F80547" w:rsidRDefault="002D0B11" w:rsidP="00F80547">
            <w:pPr>
              <w:jc w:val="both"/>
              <w:rPr>
                <w:sz w:val="20"/>
                <w:szCs w:val="20"/>
              </w:rPr>
            </w:pPr>
          </w:p>
        </w:tc>
        <w:tc>
          <w:tcPr>
            <w:tcW w:w="4389" w:type="dxa"/>
          </w:tcPr>
          <w:p w14:paraId="4226E761" w14:textId="710D5E48" w:rsidR="002D0B11" w:rsidRPr="00F80547" w:rsidRDefault="00F80547" w:rsidP="00F80547">
            <w:pPr>
              <w:jc w:val="both"/>
              <w:rPr>
                <w:sz w:val="20"/>
                <w:szCs w:val="20"/>
              </w:rPr>
            </w:pPr>
            <w:r w:rsidRPr="00F80547">
              <w:rPr>
                <w:sz w:val="20"/>
                <w:szCs w:val="20"/>
              </w:rPr>
              <w:t>Both companies</w:t>
            </w:r>
          </w:p>
        </w:tc>
      </w:tr>
      <w:tr w:rsidR="002D0B11" w:rsidRPr="00F80547" w14:paraId="6945EC67" w14:textId="77777777" w:rsidTr="00564E5C">
        <w:tc>
          <w:tcPr>
            <w:tcW w:w="4390" w:type="dxa"/>
          </w:tcPr>
          <w:p w14:paraId="0704A45B" w14:textId="73ACB0DE" w:rsidR="002D0B11" w:rsidRPr="00F80547" w:rsidRDefault="0091487F" w:rsidP="00F80547">
            <w:pPr>
              <w:jc w:val="both"/>
              <w:rPr>
                <w:sz w:val="20"/>
                <w:szCs w:val="20"/>
              </w:rPr>
            </w:pPr>
            <w:proofErr w:type="spellStart"/>
            <w:r>
              <w:rPr>
                <w:sz w:val="20"/>
                <w:szCs w:val="20"/>
              </w:rPr>
              <w:t>Erasure</w:t>
            </w:r>
            <w:proofErr w:type="spellEnd"/>
          </w:p>
        </w:tc>
        <w:tc>
          <w:tcPr>
            <w:tcW w:w="283" w:type="dxa"/>
          </w:tcPr>
          <w:p w14:paraId="5821E464" w14:textId="77777777" w:rsidR="002D0B11" w:rsidRPr="00F80547" w:rsidRDefault="002D0B11" w:rsidP="00F80547">
            <w:pPr>
              <w:jc w:val="both"/>
              <w:rPr>
                <w:sz w:val="20"/>
                <w:szCs w:val="20"/>
              </w:rPr>
            </w:pPr>
          </w:p>
        </w:tc>
        <w:tc>
          <w:tcPr>
            <w:tcW w:w="4389" w:type="dxa"/>
          </w:tcPr>
          <w:p w14:paraId="2743A60C" w14:textId="3C30074F" w:rsidR="002D0B11" w:rsidRPr="00F80547" w:rsidRDefault="00F80547" w:rsidP="00F80547">
            <w:pPr>
              <w:jc w:val="both"/>
              <w:rPr>
                <w:sz w:val="20"/>
                <w:szCs w:val="20"/>
              </w:rPr>
            </w:pPr>
            <w:r w:rsidRPr="00F80547">
              <w:rPr>
                <w:sz w:val="20"/>
                <w:szCs w:val="20"/>
              </w:rPr>
              <w:t>Both companies</w:t>
            </w:r>
          </w:p>
        </w:tc>
      </w:tr>
      <w:tr w:rsidR="002D0B11" w:rsidRPr="00F80547" w14:paraId="6E39B2F5" w14:textId="77777777" w:rsidTr="00564E5C">
        <w:tc>
          <w:tcPr>
            <w:tcW w:w="4390" w:type="dxa"/>
          </w:tcPr>
          <w:p w14:paraId="3A8B27A6" w14:textId="77777777" w:rsidR="002D0B11" w:rsidRPr="000728DD" w:rsidRDefault="002D0B11" w:rsidP="00F80547">
            <w:pPr>
              <w:jc w:val="both"/>
              <w:rPr>
                <w:sz w:val="20"/>
                <w:szCs w:val="20"/>
                <w:lang w:val="en-US"/>
              </w:rPr>
            </w:pPr>
            <w:r w:rsidRPr="000728DD">
              <w:rPr>
                <w:sz w:val="20"/>
                <w:szCs w:val="20"/>
                <w:lang w:val="en-US"/>
              </w:rPr>
              <w:t>Duty to provide information pursuant to Art. 15 GDPR</w:t>
            </w:r>
          </w:p>
        </w:tc>
        <w:tc>
          <w:tcPr>
            <w:tcW w:w="283" w:type="dxa"/>
          </w:tcPr>
          <w:p w14:paraId="077CEB4B" w14:textId="77777777" w:rsidR="002D0B11" w:rsidRPr="000728DD" w:rsidRDefault="002D0B11" w:rsidP="00F80547">
            <w:pPr>
              <w:jc w:val="both"/>
              <w:rPr>
                <w:sz w:val="20"/>
                <w:szCs w:val="20"/>
                <w:lang w:val="en-US"/>
              </w:rPr>
            </w:pPr>
          </w:p>
        </w:tc>
        <w:tc>
          <w:tcPr>
            <w:tcW w:w="4389" w:type="dxa"/>
          </w:tcPr>
          <w:p w14:paraId="5E5B4382" w14:textId="65BDEA93" w:rsidR="002D0B11" w:rsidRPr="00F80547" w:rsidRDefault="00F80547" w:rsidP="00F80547">
            <w:pPr>
              <w:jc w:val="both"/>
              <w:rPr>
                <w:sz w:val="20"/>
                <w:szCs w:val="20"/>
              </w:rPr>
            </w:pPr>
            <w:r w:rsidRPr="00F80547">
              <w:rPr>
                <w:sz w:val="20"/>
                <w:szCs w:val="20"/>
              </w:rPr>
              <w:t>Lidl Dienstleistung &amp; Co</w:t>
            </w:r>
            <w:r w:rsidR="00724DA5">
              <w:rPr>
                <w:sz w:val="20"/>
                <w:szCs w:val="20"/>
              </w:rPr>
              <w:t>.</w:t>
            </w:r>
            <w:r w:rsidRPr="00F80547">
              <w:rPr>
                <w:sz w:val="20"/>
                <w:szCs w:val="20"/>
              </w:rPr>
              <w:t xml:space="preserve"> KG</w:t>
            </w:r>
          </w:p>
        </w:tc>
      </w:tr>
    </w:tbl>
    <w:p w14:paraId="36934DF3" w14:textId="77777777" w:rsidR="002D0B11" w:rsidRPr="00F80547" w:rsidRDefault="002D0B11" w:rsidP="00F80547">
      <w:pPr>
        <w:jc w:val="both"/>
        <w:rPr>
          <w:sz w:val="20"/>
          <w:szCs w:val="20"/>
        </w:rPr>
      </w:pPr>
    </w:p>
    <w:p w14:paraId="4C224150" w14:textId="77777777" w:rsidR="002D0B11" w:rsidRPr="000728DD" w:rsidRDefault="002D0B11" w:rsidP="00F80547">
      <w:pPr>
        <w:jc w:val="both"/>
        <w:rPr>
          <w:sz w:val="20"/>
          <w:szCs w:val="20"/>
          <w:lang w:val="en-US"/>
        </w:rPr>
      </w:pPr>
      <w:r w:rsidRPr="000728DD">
        <w:rPr>
          <w:sz w:val="20"/>
          <w:szCs w:val="20"/>
          <w:lang w:val="en-US"/>
        </w:rPr>
        <w:t xml:space="preserve">Even if there is joint responsibility, the parties fulfil the data protection obligations in accordance with their respective responsibilities for the individual process stages as follows: </w:t>
      </w:r>
    </w:p>
    <w:p w14:paraId="59307254" w14:textId="77777777" w:rsidR="002D0B11" w:rsidRPr="000728DD" w:rsidRDefault="002D0B11" w:rsidP="00F80547">
      <w:pPr>
        <w:pStyle w:val="Listenabsatz"/>
        <w:numPr>
          <w:ilvl w:val="0"/>
          <w:numId w:val="1"/>
        </w:numPr>
        <w:jc w:val="both"/>
        <w:rPr>
          <w:sz w:val="20"/>
          <w:szCs w:val="20"/>
          <w:lang w:val="en-US"/>
        </w:rPr>
      </w:pPr>
      <w:r w:rsidRPr="000728DD">
        <w:rPr>
          <w:sz w:val="20"/>
          <w:szCs w:val="20"/>
          <w:lang w:val="en-US"/>
        </w:rPr>
        <w:t xml:space="preserve">Within the scope of joint responsibility, each company is responsible in accordance with the table above. </w:t>
      </w:r>
    </w:p>
    <w:p w14:paraId="329ED94F" w14:textId="41DCFAEB" w:rsidR="002D0B11" w:rsidRPr="000728DD" w:rsidRDefault="00F80547" w:rsidP="00F80547">
      <w:pPr>
        <w:pStyle w:val="Listenabsatz"/>
        <w:numPr>
          <w:ilvl w:val="0"/>
          <w:numId w:val="1"/>
        </w:numPr>
        <w:jc w:val="both"/>
        <w:rPr>
          <w:sz w:val="20"/>
          <w:szCs w:val="20"/>
          <w:lang w:val="en-US"/>
        </w:rPr>
      </w:pPr>
      <w:r w:rsidRPr="000728DD">
        <w:rPr>
          <w:sz w:val="20"/>
          <w:szCs w:val="20"/>
          <w:lang w:val="en-US"/>
        </w:rPr>
        <w:lastRenderedPageBreak/>
        <w:t xml:space="preserve">Lidl </w:t>
      </w:r>
      <w:proofErr w:type="spellStart"/>
      <w:r w:rsidRPr="000728DD">
        <w:rPr>
          <w:sz w:val="20"/>
          <w:szCs w:val="20"/>
          <w:lang w:val="en-US"/>
        </w:rPr>
        <w:t>Dienstleistung</w:t>
      </w:r>
      <w:proofErr w:type="spellEnd"/>
      <w:r w:rsidRPr="000728DD">
        <w:rPr>
          <w:sz w:val="20"/>
          <w:szCs w:val="20"/>
          <w:lang w:val="en-US"/>
        </w:rPr>
        <w:t xml:space="preserve"> &amp; Co</w:t>
      </w:r>
      <w:r w:rsidR="00724DA5" w:rsidRPr="000728DD">
        <w:rPr>
          <w:sz w:val="20"/>
          <w:szCs w:val="20"/>
          <w:lang w:val="en-US"/>
        </w:rPr>
        <w:t>.</w:t>
      </w:r>
      <w:r w:rsidRPr="000728DD">
        <w:rPr>
          <w:sz w:val="20"/>
          <w:szCs w:val="20"/>
          <w:lang w:val="en-US"/>
        </w:rPr>
        <w:t xml:space="preserve"> KG </w:t>
      </w:r>
      <w:r w:rsidR="002D0B11" w:rsidRPr="000728DD">
        <w:rPr>
          <w:sz w:val="20"/>
          <w:szCs w:val="20"/>
          <w:lang w:val="en-US"/>
        </w:rPr>
        <w:t xml:space="preserve">makes the information required under Art. 13, 14 GDPR available to data subjects free of charge in a concise, transparent, intelligible and easily accessible form, using clear and plain language. </w:t>
      </w:r>
    </w:p>
    <w:p w14:paraId="1303688B" w14:textId="77777777" w:rsidR="002D0B11" w:rsidRPr="000728DD" w:rsidRDefault="002D0B11" w:rsidP="00F80547">
      <w:pPr>
        <w:pStyle w:val="Listenabsatz"/>
        <w:numPr>
          <w:ilvl w:val="0"/>
          <w:numId w:val="1"/>
        </w:numPr>
        <w:jc w:val="both"/>
        <w:rPr>
          <w:sz w:val="20"/>
          <w:szCs w:val="20"/>
          <w:lang w:val="en-US"/>
        </w:rPr>
      </w:pPr>
      <w:r w:rsidRPr="000728DD">
        <w:rPr>
          <w:sz w:val="20"/>
          <w:szCs w:val="20"/>
          <w:lang w:val="en-US"/>
        </w:rPr>
        <w:t xml:space="preserve">The companies shall inform each other immediately of any legal positions asserted by data subjects. They shall provide each other with all information necessary to respond to requests for information. </w:t>
      </w:r>
    </w:p>
    <w:p w14:paraId="69626375" w14:textId="3181120B" w:rsidR="00F80547" w:rsidRPr="000728DD" w:rsidRDefault="002D0B11" w:rsidP="00C657B0">
      <w:pPr>
        <w:pStyle w:val="Listenabsatz"/>
        <w:numPr>
          <w:ilvl w:val="0"/>
          <w:numId w:val="1"/>
        </w:numPr>
        <w:jc w:val="both"/>
        <w:rPr>
          <w:sz w:val="20"/>
          <w:szCs w:val="20"/>
          <w:lang w:val="en-US"/>
        </w:rPr>
      </w:pPr>
      <w:r w:rsidRPr="000728DD">
        <w:rPr>
          <w:sz w:val="20"/>
          <w:szCs w:val="20"/>
          <w:lang w:val="en-US"/>
        </w:rPr>
        <w:t>Data protection rights can be asserted against all companies involved.</w:t>
      </w:r>
    </w:p>
    <w:p w14:paraId="6165DEA2" w14:textId="4B596487" w:rsidR="002D0B11" w:rsidRPr="000728DD" w:rsidRDefault="00F80DE4" w:rsidP="00F80547">
      <w:pPr>
        <w:jc w:val="both"/>
        <w:rPr>
          <w:sz w:val="20"/>
          <w:szCs w:val="20"/>
          <w:u w:val="single"/>
          <w:lang w:val="en-US"/>
        </w:rPr>
      </w:pPr>
      <w:r w:rsidRPr="000728DD">
        <w:rPr>
          <w:sz w:val="20"/>
          <w:szCs w:val="20"/>
          <w:u w:val="single"/>
          <w:lang w:val="en-US"/>
        </w:rPr>
        <w:t>Controller</w:t>
      </w:r>
      <w:r w:rsidR="002D0B11" w:rsidRPr="000728DD">
        <w:rPr>
          <w:sz w:val="20"/>
          <w:szCs w:val="20"/>
          <w:u w:val="single"/>
          <w:lang w:val="en-US"/>
        </w:rPr>
        <w:t xml:space="preserve"> within the meaning of Art. </w:t>
      </w:r>
      <w:r w:rsidR="00C657B0" w:rsidRPr="000728DD">
        <w:rPr>
          <w:sz w:val="20"/>
          <w:szCs w:val="20"/>
          <w:u w:val="single"/>
          <w:lang w:val="en-US"/>
        </w:rPr>
        <w:t xml:space="preserve">4 </w:t>
      </w:r>
      <w:r w:rsidR="002D0B11" w:rsidRPr="000728DD">
        <w:rPr>
          <w:sz w:val="20"/>
          <w:szCs w:val="20"/>
          <w:u w:val="single"/>
          <w:lang w:val="en-US"/>
        </w:rPr>
        <w:t>No. 7 GDPR</w:t>
      </w:r>
    </w:p>
    <w:p w14:paraId="07FE049E" w14:textId="3CA948B8" w:rsidR="002D0B11" w:rsidRDefault="00C657B0" w:rsidP="00C657B0">
      <w:pPr>
        <w:pStyle w:val="Listenabsatz"/>
        <w:numPr>
          <w:ilvl w:val="0"/>
          <w:numId w:val="3"/>
        </w:numPr>
        <w:jc w:val="both"/>
        <w:rPr>
          <w:sz w:val="20"/>
          <w:szCs w:val="20"/>
        </w:rPr>
      </w:pPr>
      <w:r w:rsidRPr="00C657B0">
        <w:rPr>
          <w:sz w:val="20"/>
          <w:szCs w:val="20"/>
        </w:rPr>
        <w:t>Lidl Dienstleistung &amp; Co KG, Bonfelder Str. 2, 74206 Bad Wimpfen</w:t>
      </w:r>
    </w:p>
    <w:p w14:paraId="3C81ED4F" w14:textId="448C0260" w:rsidR="00C657B0" w:rsidRPr="00C657B0" w:rsidRDefault="00C657B0" w:rsidP="00C657B0">
      <w:pPr>
        <w:pStyle w:val="Listenabsatz"/>
        <w:numPr>
          <w:ilvl w:val="0"/>
          <w:numId w:val="3"/>
        </w:numPr>
        <w:jc w:val="both"/>
        <w:rPr>
          <w:sz w:val="20"/>
          <w:szCs w:val="20"/>
        </w:rPr>
      </w:pPr>
      <w:r w:rsidRPr="00F80547">
        <w:rPr>
          <w:sz w:val="20"/>
          <w:szCs w:val="20"/>
        </w:rPr>
        <w:t>ProVeg e.V., Genthiner Straße 48, 10785 Berlin</w:t>
      </w:r>
    </w:p>
    <w:p w14:paraId="2D3F4DFC" w14:textId="77777777" w:rsidR="002D0B11" w:rsidRPr="000728DD" w:rsidRDefault="002D0B11" w:rsidP="00F80547">
      <w:pPr>
        <w:jc w:val="both"/>
        <w:rPr>
          <w:sz w:val="20"/>
          <w:szCs w:val="20"/>
          <w:u w:val="single"/>
          <w:lang w:val="en-US"/>
        </w:rPr>
      </w:pPr>
      <w:r w:rsidRPr="000728DD">
        <w:rPr>
          <w:sz w:val="20"/>
          <w:szCs w:val="20"/>
          <w:u w:val="single"/>
          <w:lang w:val="en-US"/>
        </w:rPr>
        <w:t>Contact details of the data protection officer:</w:t>
      </w:r>
    </w:p>
    <w:p w14:paraId="709F945C" w14:textId="77777777" w:rsidR="002D0B11" w:rsidRPr="000728DD" w:rsidRDefault="002D0B11" w:rsidP="00F80547">
      <w:pPr>
        <w:jc w:val="both"/>
        <w:rPr>
          <w:sz w:val="20"/>
          <w:szCs w:val="20"/>
          <w:lang w:val="en-US"/>
        </w:rPr>
      </w:pPr>
      <w:r w:rsidRPr="000728DD">
        <w:rPr>
          <w:sz w:val="20"/>
          <w:szCs w:val="20"/>
          <w:lang w:val="en-US"/>
        </w:rPr>
        <w:t xml:space="preserve">You can contact us with questions about data protection or in the event of complaints at: </w:t>
      </w:r>
      <w:hyperlink r:id="rId8" w:history="1">
        <w:r w:rsidRPr="000728DD">
          <w:rPr>
            <w:rStyle w:val="Hyperlink"/>
            <w:sz w:val="20"/>
            <w:szCs w:val="20"/>
            <w:u w:val="none"/>
            <w:lang w:val="en-US"/>
          </w:rPr>
          <w:t>datenschutz@lidl.de</w:t>
        </w:r>
      </w:hyperlink>
    </w:p>
    <w:p w14:paraId="23AAE625" w14:textId="77777777" w:rsidR="00F80DE4" w:rsidRPr="000728DD" w:rsidRDefault="00F80DE4" w:rsidP="00F80DE4">
      <w:pPr>
        <w:rPr>
          <w:sz w:val="20"/>
          <w:szCs w:val="20"/>
          <w:u w:val="single"/>
          <w:lang w:val="en-US"/>
        </w:rPr>
      </w:pPr>
      <w:r w:rsidRPr="000728DD">
        <w:rPr>
          <w:sz w:val="20"/>
          <w:szCs w:val="20"/>
          <w:u w:val="single"/>
          <w:lang w:val="en-US"/>
        </w:rPr>
        <w:t>Your rights as a data subject:</w:t>
      </w:r>
    </w:p>
    <w:p w14:paraId="6E4BD1A3" w14:textId="77777777" w:rsidR="00F80DE4" w:rsidRPr="000728DD" w:rsidRDefault="00F80DE4" w:rsidP="00F80DE4">
      <w:pPr>
        <w:rPr>
          <w:sz w:val="20"/>
          <w:szCs w:val="20"/>
          <w:lang w:val="en-US"/>
        </w:rPr>
      </w:pPr>
      <w:r w:rsidRPr="000728DD">
        <w:rPr>
          <w:sz w:val="20"/>
          <w:szCs w:val="20"/>
          <w:lang w:val="en-US"/>
        </w:rPr>
        <w:t xml:space="preserve">Pursuant to Art. 15 GDPR, you have the right to obtain from the controller access to the personal data concerning you and, pursuant to Art. 16 GDPR, the right to rectification of inaccurate data or erasure if one of the grounds specified in Art. 17 GDPR applies, e.g. if the data is no longer required for the purposes pursued. There is also the right to restriction of processing if one of the conditions specified in Art. 18 GDPR applies and, in the cases of Art. 20 GDPR, the right to data portability. </w:t>
      </w:r>
    </w:p>
    <w:p w14:paraId="6DB63CE5" w14:textId="77777777" w:rsidR="00F80DE4" w:rsidRPr="000728DD" w:rsidRDefault="00F80DE4" w:rsidP="00F80DE4">
      <w:pPr>
        <w:rPr>
          <w:sz w:val="20"/>
          <w:szCs w:val="20"/>
          <w:lang w:val="en-US"/>
        </w:rPr>
      </w:pPr>
      <w:r w:rsidRPr="000728DD">
        <w:rPr>
          <w:sz w:val="20"/>
          <w:szCs w:val="20"/>
          <w:lang w:val="en-US"/>
        </w:rPr>
        <w:t>If the data processing is based on your consent in accordance with Art. 6 (1) a GDPR, you can withdraw your consent at any time without affecting the lawfulness of the data processing up to the time of withdrawal. In addition, you can object to data processing in accordance with Art. 21 GDPR, insofar as the processing is carried out in accordance with Art. 6 (1) f GDPR.</w:t>
      </w:r>
    </w:p>
    <w:p w14:paraId="5A3A9A37" w14:textId="77777777" w:rsidR="00F80DE4" w:rsidRPr="000728DD" w:rsidRDefault="00F80DE4" w:rsidP="00F80DE4">
      <w:pPr>
        <w:rPr>
          <w:sz w:val="20"/>
          <w:szCs w:val="20"/>
          <w:u w:val="single"/>
          <w:lang w:val="en-US"/>
        </w:rPr>
      </w:pPr>
      <w:r w:rsidRPr="000728DD">
        <w:rPr>
          <w:sz w:val="20"/>
          <w:szCs w:val="20"/>
          <w:u w:val="single"/>
          <w:lang w:val="en-US"/>
        </w:rPr>
        <w:t>Right to lodge a complaint with a supervisory authority:</w:t>
      </w:r>
    </w:p>
    <w:p w14:paraId="153B1E6D" w14:textId="77777777" w:rsidR="00F80DE4" w:rsidRPr="000728DD" w:rsidRDefault="00F80DE4" w:rsidP="00F80DE4">
      <w:pPr>
        <w:rPr>
          <w:sz w:val="20"/>
          <w:szCs w:val="20"/>
          <w:lang w:val="en-US"/>
        </w:rPr>
      </w:pPr>
      <w:r w:rsidRPr="000728DD">
        <w:rPr>
          <w:sz w:val="20"/>
          <w:szCs w:val="20"/>
          <w:lang w:val="en-US"/>
        </w:rPr>
        <w:t>You have the right to lodge a complaint with a supervisory authority if you are of the opinion that the processing of the data concerning you violates data protection regulations. The right to lodge a complaint can be asserted with the supervisory authority of Baden-Württemberg, which is responsible for the Lidl service, or with the data protection supervisory authority of the federal state in which you reside.</w:t>
      </w:r>
    </w:p>
    <w:p w14:paraId="6E11C670" w14:textId="77777777" w:rsidR="00F80DE4" w:rsidRPr="000728DD" w:rsidRDefault="00F80DE4" w:rsidP="00F80DE4">
      <w:pPr>
        <w:rPr>
          <w:sz w:val="20"/>
          <w:szCs w:val="20"/>
          <w:u w:val="single"/>
          <w:lang w:val="en-US"/>
        </w:rPr>
      </w:pPr>
      <w:r w:rsidRPr="000728DD">
        <w:rPr>
          <w:sz w:val="20"/>
          <w:szCs w:val="20"/>
          <w:u w:val="single"/>
          <w:lang w:val="en-US"/>
        </w:rPr>
        <w:t>Obligation to provide:</w:t>
      </w:r>
    </w:p>
    <w:p w14:paraId="3AF69B04" w14:textId="77777777" w:rsidR="00F80DE4" w:rsidRPr="000728DD" w:rsidRDefault="00F80DE4" w:rsidP="00F80DE4">
      <w:pPr>
        <w:rPr>
          <w:sz w:val="20"/>
          <w:szCs w:val="20"/>
          <w:lang w:val="en-US"/>
        </w:rPr>
      </w:pPr>
      <w:r w:rsidRPr="000728DD">
        <w:rPr>
          <w:sz w:val="20"/>
          <w:szCs w:val="20"/>
          <w:lang w:val="en-US"/>
        </w:rPr>
        <w:t>The provision of personal data is neither legally nor contractually required. However, it is required for participation in the competition. Failure to provide personal data may result in non-participation in the competition.</w:t>
      </w:r>
    </w:p>
    <w:p w14:paraId="21A5CAB0" w14:textId="77777777" w:rsidR="00F80DE4" w:rsidRPr="000728DD" w:rsidRDefault="00F80DE4" w:rsidP="00F80DE4">
      <w:pPr>
        <w:rPr>
          <w:sz w:val="20"/>
          <w:szCs w:val="20"/>
          <w:u w:val="single"/>
          <w:lang w:val="en-US"/>
        </w:rPr>
      </w:pPr>
      <w:r w:rsidRPr="000728DD">
        <w:rPr>
          <w:sz w:val="20"/>
          <w:szCs w:val="20"/>
          <w:u w:val="single"/>
          <w:lang w:val="en-US"/>
        </w:rPr>
        <w:t xml:space="preserve">Automated individual decision-making: </w:t>
      </w:r>
    </w:p>
    <w:p w14:paraId="705D7A6E" w14:textId="77777777" w:rsidR="00F80DE4" w:rsidRPr="000728DD" w:rsidRDefault="00F80DE4" w:rsidP="00F80DE4">
      <w:pPr>
        <w:rPr>
          <w:sz w:val="20"/>
          <w:szCs w:val="20"/>
          <w:lang w:val="en-US"/>
        </w:rPr>
      </w:pPr>
      <w:r w:rsidRPr="000728DD">
        <w:rPr>
          <w:sz w:val="20"/>
          <w:szCs w:val="20"/>
          <w:lang w:val="en-US"/>
        </w:rPr>
        <w:t>There is no automated individual decision-making including profiling in accordance with Article 22 (1) and (4) GDPR.</w:t>
      </w:r>
    </w:p>
    <w:p w14:paraId="37FBCC2C" w14:textId="77777777" w:rsidR="002D0B11" w:rsidRPr="000728DD" w:rsidRDefault="002D0B11" w:rsidP="00F80547">
      <w:pPr>
        <w:jc w:val="both"/>
        <w:rPr>
          <w:sz w:val="20"/>
          <w:szCs w:val="20"/>
          <w:lang w:val="en-US"/>
        </w:rPr>
      </w:pPr>
    </w:p>
    <w:sectPr w:rsidR="002D0B11" w:rsidRPr="000728D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37B2" w14:textId="77777777" w:rsidR="007E7810" w:rsidRDefault="007E7810" w:rsidP="008C5049">
      <w:pPr>
        <w:spacing w:after="0" w:line="240" w:lineRule="auto"/>
      </w:pPr>
      <w:r>
        <w:separator/>
      </w:r>
    </w:p>
  </w:endnote>
  <w:endnote w:type="continuationSeparator" w:id="0">
    <w:p w14:paraId="76B47591" w14:textId="77777777" w:rsidR="007E7810" w:rsidRDefault="007E7810" w:rsidP="008C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dl Font">
    <w:altName w:val="Calibri"/>
    <w:panose1 w:val="02000000000000000000"/>
    <w:charset w:val="00"/>
    <w:family w:val="modern"/>
    <w:notTrueType/>
    <w:pitch w:val="variable"/>
    <w:sig w:usb0="A000003F" w:usb1="500020CB"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86DD" w14:textId="77777777" w:rsidR="008C5049" w:rsidRDefault="008C50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34FB" w14:textId="77777777" w:rsidR="008C5049" w:rsidRDefault="008C504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4E9B" w14:textId="77777777" w:rsidR="008C5049" w:rsidRDefault="008C50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ADC5" w14:textId="77777777" w:rsidR="007E7810" w:rsidRDefault="007E7810" w:rsidP="008C5049">
      <w:pPr>
        <w:spacing w:after="0" w:line="240" w:lineRule="auto"/>
      </w:pPr>
      <w:r>
        <w:separator/>
      </w:r>
    </w:p>
  </w:footnote>
  <w:footnote w:type="continuationSeparator" w:id="0">
    <w:p w14:paraId="1B8FA9BB" w14:textId="77777777" w:rsidR="007E7810" w:rsidRDefault="007E7810" w:rsidP="008C5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757B" w14:textId="77777777" w:rsidR="008C5049" w:rsidRDefault="008C50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06378"/>
      <w:docPartObj>
        <w:docPartGallery w:val="Watermarks"/>
        <w:docPartUnique/>
      </w:docPartObj>
    </w:sdtPr>
    <w:sdtContent>
      <w:p w14:paraId="66672126" w14:textId="179D0C7C" w:rsidR="008C5049" w:rsidRDefault="00000000">
        <w:pPr>
          <w:pStyle w:val="Kopfzeile"/>
        </w:pPr>
        <w:r>
          <w:pict w14:anchorId="6F027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1ADA" w14:textId="77777777" w:rsidR="008C5049" w:rsidRDefault="008C50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2B6A"/>
    <w:multiLevelType w:val="hybridMultilevel"/>
    <w:tmpl w:val="9F1C9D2C"/>
    <w:lvl w:ilvl="0" w:tplc="4AB2DBE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2D465C"/>
    <w:multiLevelType w:val="hybridMultilevel"/>
    <w:tmpl w:val="33406FB8"/>
    <w:lvl w:ilvl="0" w:tplc="F9C0EE82">
      <w:numFmt w:val="bullet"/>
      <w:lvlText w:val="-"/>
      <w:lvlJc w:val="left"/>
      <w:pPr>
        <w:ind w:left="720" w:hanging="360"/>
      </w:pPr>
      <w:rPr>
        <w:rFonts w:ascii="Lidl Font" w:eastAsiaTheme="minorHAnsi" w:hAnsi="Lidl Fon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C67177"/>
    <w:multiLevelType w:val="hybridMultilevel"/>
    <w:tmpl w:val="9EC22304"/>
    <w:lvl w:ilvl="0" w:tplc="F9C0EE82">
      <w:numFmt w:val="bullet"/>
      <w:lvlText w:val="-"/>
      <w:lvlJc w:val="left"/>
      <w:pPr>
        <w:ind w:left="720" w:hanging="360"/>
      </w:pPr>
      <w:rPr>
        <w:rFonts w:ascii="Lidl Font" w:eastAsiaTheme="minorHAnsi" w:hAnsi="Lidl Fon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3933126">
    <w:abstractNumId w:val="0"/>
  </w:num>
  <w:num w:numId="2" w16cid:durableId="1062827712">
    <w:abstractNumId w:val="2"/>
  </w:num>
  <w:num w:numId="3" w16cid:durableId="895748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A2"/>
    <w:rsid w:val="00050AC3"/>
    <w:rsid w:val="000728DD"/>
    <w:rsid w:val="00172FF6"/>
    <w:rsid w:val="001944E9"/>
    <w:rsid w:val="0020232F"/>
    <w:rsid w:val="002529F5"/>
    <w:rsid w:val="00292F43"/>
    <w:rsid w:val="002D0B11"/>
    <w:rsid w:val="003B0016"/>
    <w:rsid w:val="003B08CF"/>
    <w:rsid w:val="003C23DD"/>
    <w:rsid w:val="003D455C"/>
    <w:rsid w:val="0048484C"/>
    <w:rsid w:val="004A63FF"/>
    <w:rsid w:val="00546941"/>
    <w:rsid w:val="005D322D"/>
    <w:rsid w:val="00667100"/>
    <w:rsid w:val="00686DE8"/>
    <w:rsid w:val="006B24EC"/>
    <w:rsid w:val="00724DA5"/>
    <w:rsid w:val="007E7810"/>
    <w:rsid w:val="008C5049"/>
    <w:rsid w:val="008D18B4"/>
    <w:rsid w:val="0091487F"/>
    <w:rsid w:val="009C131D"/>
    <w:rsid w:val="00B41CBE"/>
    <w:rsid w:val="00C657B0"/>
    <w:rsid w:val="00C70208"/>
    <w:rsid w:val="00C824D9"/>
    <w:rsid w:val="00CD6F51"/>
    <w:rsid w:val="00D910A2"/>
    <w:rsid w:val="00DC52EC"/>
    <w:rsid w:val="00DD10F3"/>
    <w:rsid w:val="00DE0CB2"/>
    <w:rsid w:val="00E562DF"/>
    <w:rsid w:val="00F267FC"/>
    <w:rsid w:val="00F80547"/>
    <w:rsid w:val="00F80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C299"/>
  <w15:chartTrackingRefBased/>
  <w15:docId w15:val="{E09BD2EC-06F6-49FC-BC72-29FAA5DF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1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91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910A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910A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10A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10A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10A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10A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10A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10A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910A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10A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910A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910A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910A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10A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10A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10A2"/>
    <w:rPr>
      <w:rFonts w:eastAsiaTheme="majorEastAsia" w:cstheme="majorBidi"/>
      <w:color w:val="272727" w:themeColor="text1" w:themeTint="D8"/>
    </w:rPr>
  </w:style>
  <w:style w:type="paragraph" w:styleId="Titel">
    <w:name w:val="Title"/>
    <w:basedOn w:val="Standard"/>
    <w:next w:val="Standard"/>
    <w:link w:val="TitelZchn"/>
    <w:uiPriority w:val="10"/>
    <w:qFormat/>
    <w:rsid w:val="00D91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10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10A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10A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10A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910A2"/>
    <w:rPr>
      <w:i/>
      <w:iCs/>
      <w:color w:val="404040" w:themeColor="text1" w:themeTint="BF"/>
    </w:rPr>
  </w:style>
  <w:style w:type="paragraph" w:styleId="Listenabsatz">
    <w:name w:val="List Paragraph"/>
    <w:basedOn w:val="Standard"/>
    <w:uiPriority w:val="34"/>
    <w:qFormat/>
    <w:rsid w:val="00D910A2"/>
    <w:pPr>
      <w:ind w:left="720"/>
      <w:contextualSpacing/>
    </w:pPr>
  </w:style>
  <w:style w:type="character" w:styleId="IntensiveHervorhebung">
    <w:name w:val="Intense Emphasis"/>
    <w:basedOn w:val="Absatz-Standardschriftart"/>
    <w:uiPriority w:val="21"/>
    <w:qFormat/>
    <w:rsid w:val="00D910A2"/>
    <w:rPr>
      <w:i/>
      <w:iCs/>
      <w:color w:val="0F4761" w:themeColor="accent1" w:themeShade="BF"/>
    </w:rPr>
  </w:style>
  <w:style w:type="paragraph" w:styleId="IntensivesZitat">
    <w:name w:val="Intense Quote"/>
    <w:basedOn w:val="Standard"/>
    <w:next w:val="Standard"/>
    <w:link w:val="IntensivesZitatZchn"/>
    <w:uiPriority w:val="30"/>
    <w:qFormat/>
    <w:rsid w:val="00D91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910A2"/>
    <w:rPr>
      <w:i/>
      <w:iCs/>
      <w:color w:val="0F4761" w:themeColor="accent1" w:themeShade="BF"/>
    </w:rPr>
  </w:style>
  <w:style w:type="character" w:styleId="IntensiverVerweis">
    <w:name w:val="Intense Reference"/>
    <w:basedOn w:val="Absatz-Standardschriftart"/>
    <w:uiPriority w:val="32"/>
    <w:qFormat/>
    <w:rsid w:val="00D910A2"/>
    <w:rPr>
      <w:b/>
      <w:bCs/>
      <w:smallCaps/>
      <w:color w:val="0F4761" w:themeColor="accent1" w:themeShade="BF"/>
      <w:spacing w:val="5"/>
    </w:rPr>
  </w:style>
  <w:style w:type="character" w:styleId="Hyperlink">
    <w:name w:val="Hyperlink"/>
    <w:basedOn w:val="Absatz-Standardschriftart"/>
    <w:uiPriority w:val="99"/>
    <w:unhideWhenUsed/>
    <w:rsid w:val="00C824D9"/>
    <w:rPr>
      <w:color w:val="467886" w:themeColor="hyperlink"/>
      <w:u w:val="single"/>
    </w:rPr>
  </w:style>
  <w:style w:type="character" w:styleId="NichtaufgelsteErwhnung">
    <w:name w:val="Unresolved Mention"/>
    <w:basedOn w:val="Absatz-Standardschriftart"/>
    <w:uiPriority w:val="99"/>
    <w:semiHidden/>
    <w:unhideWhenUsed/>
    <w:rsid w:val="00C824D9"/>
    <w:rPr>
      <w:color w:val="605E5C"/>
      <w:shd w:val="clear" w:color="auto" w:fill="E1DFDD"/>
    </w:rPr>
  </w:style>
  <w:style w:type="paragraph" w:styleId="Kopfzeile">
    <w:name w:val="header"/>
    <w:basedOn w:val="Standard"/>
    <w:link w:val="KopfzeileZchn"/>
    <w:uiPriority w:val="99"/>
    <w:unhideWhenUsed/>
    <w:rsid w:val="008C50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5049"/>
  </w:style>
  <w:style w:type="paragraph" w:styleId="Fuzeile">
    <w:name w:val="footer"/>
    <w:basedOn w:val="Standard"/>
    <w:link w:val="FuzeileZchn"/>
    <w:uiPriority w:val="99"/>
    <w:unhideWhenUsed/>
    <w:rsid w:val="008C50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5049"/>
  </w:style>
  <w:style w:type="character" w:styleId="Kommentarzeichen">
    <w:name w:val="annotation reference"/>
    <w:basedOn w:val="Absatz-Standardschriftart"/>
    <w:uiPriority w:val="99"/>
    <w:semiHidden/>
    <w:unhideWhenUsed/>
    <w:rsid w:val="004A63FF"/>
    <w:rPr>
      <w:sz w:val="16"/>
      <w:szCs w:val="16"/>
    </w:rPr>
  </w:style>
  <w:style w:type="paragraph" w:styleId="Kommentartext">
    <w:name w:val="annotation text"/>
    <w:basedOn w:val="Standard"/>
    <w:link w:val="KommentartextZchn"/>
    <w:uiPriority w:val="99"/>
    <w:unhideWhenUsed/>
    <w:rsid w:val="004A63FF"/>
    <w:pPr>
      <w:spacing w:line="240" w:lineRule="auto"/>
    </w:pPr>
    <w:rPr>
      <w:sz w:val="20"/>
      <w:szCs w:val="20"/>
    </w:rPr>
  </w:style>
  <w:style w:type="character" w:customStyle="1" w:styleId="KommentartextZchn">
    <w:name w:val="Kommentartext Zchn"/>
    <w:basedOn w:val="Absatz-Standardschriftart"/>
    <w:link w:val="Kommentartext"/>
    <w:uiPriority w:val="99"/>
    <w:rsid w:val="004A63FF"/>
    <w:rPr>
      <w:sz w:val="20"/>
      <w:szCs w:val="20"/>
    </w:rPr>
  </w:style>
  <w:style w:type="table" w:styleId="Tabellenraster">
    <w:name w:val="Table Grid"/>
    <w:basedOn w:val="NormaleTabelle"/>
    <w:uiPriority w:val="39"/>
    <w:rsid w:val="002D0B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724DA5"/>
    <w:rPr>
      <w:b/>
      <w:bCs/>
    </w:rPr>
  </w:style>
  <w:style w:type="character" w:customStyle="1" w:styleId="KommentarthemaZchn">
    <w:name w:val="Kommentarthema Zchn"/>
    <w:basedOn w:val="KommentartextZchn"/>
    <w:link w:val="Kommentarthema"/>
    <w:uiPriority w:val="99"/>
    <w:semiHidden/>
    <w:rsid w:val="00724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idl.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84C1-D721-4281-B95D-171722E566D3}">
  <ds:schemaRefs>
    <ds:schemaRef ds:uri="http://schemas.openxmlformats.org/officeDocument/2006/bibliography"/>
  </ds:schemaRefs>
</ds:datastoreItem>
</file>

<file path=docMetadata/LabelInfo.xml><?xml version="1.0" encoding="utf-8"?>
<clbl:labelList xmlns:clbl="http://schemas.microsoft.com/office/2020/mipLabelMetadata">
  <clbl:label id="{60b37cb2-a399-4c31-a85a-411fc8b623d3}" enabled="1" method="Standar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Artuković</dc:creator>
  <cp:keywords>, docId:190BB8C456C7DE7E0ADC70E55034FF03</cp:keywords>
  <dc:description/>
  <cp:lastModifiedBy>Aglika Dimov</cp:lastModifiedBy>
  <cp:revision>11</cp:revision>
  <dcterms:created xsi:type="dcterms:W3CDTF">2025-01-14T09:38:00Z</dcterms:created>
  <dcterms:modified xsi:type="dcterms:W3CDTF">2025-01-21T08:48:00Z</dcterms:modified>
</cp:coreProperties>
</file>